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4E2" w:rsidRPr="000044E2" w:rsidRDefault="000044E2" w:rsidP="000044E2">
      <w:pPr>
        <w:pBdr>
          <w:bottom w:val="single" w:sz="6" w:space="8" w:color="E7E7EB"/>
        </w:pBdr>
        <w:shd w:val="clear" w:color="auto" w:fill="FFFFFF"/>
        <w:adjustRightInd/>
        <w:snapToGrid/>
        <w:spacing w:after="210"/>
        <w:outlineLvl w:val="1"/>
        <w:rPr>
          <w:rFonts w:ascii="Helvetica" w:eastAsia="宋体" w:hAnsi="Helvetica" w:cs="Helvetica"/>
          <w:color w:val="000000"/>
          <w:sz w:val="36"/>
          <w:szCs w:val="36"/>
        </w:rPr>
      </w:pPr>
      <w:r w:rsidRPr="000044E2">
        <w:rPr>
          <w:rFonts w:ascii="Helvetica" w:eastAsia="宋体" w:hAnsi="Helvetica" w:cs="Helvetica"/>
          <w:color w:val="000000"/>
          <w:sz w:val="36"/>
          <w:szCs w:val="36"/>
        </w:rPr>
        <w:t>【重磅】修订版《医疗器械监督管理条例》（国务院</w:t>
      </w:r>
      <w:r w:rsidRPr="000044E2">
        <w:rPr>
          <w:rFonts w:ascii="Helvetica" w:eastAsia="宋体" w:hAnsi="Helvetica" w:cs="Helvetica"/>
          <w:color w:val="000000"/>
          <w:sz w:val="36"/>
          <w:szCs w:val="36"/>
        </w:rPr>
        <w:t>680</w:t>
      </w:r>
      <w:r w:rsidRPr="000044E2">
        <w:rPr>
          <w:rFonts w:ascii="Helvetica" w:eastAsia="宋体" w:hAnsi="Helvetica" w:cs="Helvetica"/>
          <w:color w:val="000000"/>
          <w:sz w:val="36"/>
          <w:szCs w:val="36"/>
        </w:rPr>
        <w:t>号令）发布</w:t>
      </w:r>
    </w:p>
    <w:p w:rsidR="000044E2" w:rsidRPr="000044E2" w:rsidRDefault="000044E2" w:rsidP="000044E2">
      <w:pPr>
        <w:shd w:val="clear" w:color="auto" w:fill="FFFFFF"/>
        <w:adjustRightInd/>
        <w:snapToGrid/>
        <w:spacing w:line="300" w:lineRule="atLeast"/>
        <w:rPr>
          <w:rFonts w:ascii="Helvetica" w:eastAsia="宋体" w:hAnsi="Helvetica" w:cs="Helvetica"/>
          <w:color w:val="000000"/>
          <w:sz w:val="2"/>
          <w:szCs w:val="2"/>
        </w:rPr>
      </w:pPr>
      <w:r w:rsidRPr="000044E2">
        <w:rPr>
          <w:rFonts w:ascii="Helvetica" w:eastAsia="宋体" w:hAnsi="Helvetica" w:cs="Helvetica"/>
          <w:color w:val="999999"/>
          <w:sz w:val="21"/>
        </w:rPr>
        <w:t>2017-05-19</w:t>
      </w:r>
      <w:r w:rsidRPr="000044E2">
        <w:rPr>
          <w:rFonts w:ascii="Helvetica" w:eastAsia="宋体" w:hAnsi="Helvetica" w:cs="Helvetica"/>
          <w:color w:val="000000"/>
          <w:sz w:val="2"/>
        </w:rPr>
        <w:t> </w:t>
      </w:r>
      <w:r w:rsidRPr="000044E2">
        <w:rPr>
          <w:rFonts w:ascii="Helvetica" w:eastAsia="宋体" w:hAnsi="Helvetica" w:cs="Helvetica"/>
          <w:color w:val="999999"/>
          <w:sz w:val="21"/>
        </w:rPr>
        <w:t>中国政府网</w:t>
      </w:r>
      <w:r w:rsidRPr="000044E2">
        <w:rPr>
          <w:rFonts w:ascii="Helvetica" w:eastAsia="宋体" w:hAnsi="Helvetica" w:cs="Helvetica"/>
          <w:color w:val="000000"/>
          <w:sz w:val="2"/>
        </w:rPr>
        <w:t> </w:t>
      </w:r>
    </w:p>
    <w:p w:rsidR="000044E2" w:rsidRPr="000044E2" w:rsidRDefault="000044E2" w:rsidP="000044E2">
      <w:pPr>
        <w:shd w:val="clear" w:color="auto" w:fill="FFFFFF"/>
        <w:adjustRightInd/>
        <w:snapToGrid/>
        <w:spacing w:after="0" w:line="450" w:lineRule="atLeast"/>
        <w:jc w:val="center"/>
        <w:rPr>
          <w:rFonts w:ascii="微软雅黑" w:hAnsi="微软雅黑" w:cs="Helvetica"/>
          <w:color w:val="606060"/>
          <w:spacing w:val="8"/>
          <w:sz w:val="27"/>
          <w:szCs w:val="27"/>
        </w:rPr>
      </w:pPr>
    </w:p>
    <w:p w:rsidR="000044E2" w:rsidRPr="000044E2" w:rsidRDefault="000044E2" w:rsidP="000044E2">
      <w:pPr>
        <w:shd w:val="clear" w:color="auto" w:fill="FFFFFF"/>
        <w:adjustRightInd/>
        <w:snapToGrid/>
        <w:spacing w:after="0" w:line="450" w:lineRule="atLeast"/>
        <w:jc w:val="center"/>
        <w:outlineLvl w:val="0"/>
        <w:rPr>
          <w:rFonts w:ascii="微软雅黑" w:hAnsi="微软雅黑" w:cs="Helvetica"/>
          <w:color w:val="3E3E3E"/>
          <w:kern w:val="36"/>
          <w:sz w:val="35"/>
          <w:szCs w:val="35"/>
        </w:rPr>
      </w:pPr>
      <w:r w:rsidRPr="000044E2">
        <w:rPr>
          <w:rFonts w:ascii="微软雅黑" w:hAnsi="微软雅黑" w:cs="Helvetica" w:hint="eastAsia"/>
          <w:b/>
          <w:bCs/>
          <w:color w:val="606060"/>
          <w:spacing w:val="8"/>
          <w:kern w:val="36"/>
          <w:sz w:val="27"/>
        </w:rPr>
        <w:t>中华人民共和国国务院令</w:t>
      </w:r>
    </w:p>
    <w:p w:rsidR="000044E2" w:rsidRPr="000044E2" w:rsidRDefault="000044E2" w:rsidP="000044E2">
      <w:pPr>
        <w:shd w:val="clear" w:color="auto" w:fill="FFFFFF"/>
        <w:adjustRightInd/>
        <w:snapToGrid/>
        <w:spacing w:after="0" w:line="450" w:lineRule="atLeast"/>
        <w:jc w:val="center"/>
        <w:rPr>
          <w:rFonts w:ascii="微软雅黑" w:hAnsi="微软雅黑" w:cs="Helvetica"/>
          <w:color w:val="606060"/>
          <w:spacing w:val="8"/>
          <w:sz w:val="27"/>
          <w:szCs w:val="27"/>
        </w:rPr>
      </w:pPr>
      <w:r w:rsidRPr="000044E2">
        <w:rPr>
          <w:rFonts w:ascii="微软雅黑" w:hAnsi="微软雅黑" w:cs="Helvetica" w:hint="eastAsia"/>
          <w:b/>
          <w:bCs/>
          <w:color w:val="606060"/>
          <w:spacing w:val="8"/>
          <w:sz w:val="27"/>
        </w:rPr>
        <w:t>第680号</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现公布《国务院关于修改〈医疗器械监督管理条例〉的决定》，自公布之日起施行。</w:t>
      </w:r>
    </w:p>
    <w:p w:rsidR="000044E2" w:rsidRPr="000044E2" w:rsidRDefault="000044E2" w:rsidP="000044E2">
      <w:pPr>
        <w:shd w:val="clear" w:color="auto" w:fill="FFFFFF"/>
        <w:adjustRightInd/>
        <w:snapToGrid/>
        <w:spacing w:after="0" w:line="450" w:lineRule="atLeast"/>
        <w:jc w:val="right"/>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总理　李克强</w:t>
      </w:r>
      <w:r w:rsidRPr="000044E2">
        <w:rPr>
          <w:rFonts w:ascii="微软雅黑" w:hAnsi="微软雅黑" w:cs="Helvetica" w:hint="eastAsia"/>
          <w:color w:val="606060"/>
          <w:spacing w:val="8"/>
          <w:sz w:val="27"/>
          <w:szCs w:val="27"/>
        </w:rPr>
        <w:br/>
        <w:t>2017年5月4日</w:t>
      </w:r>
    </w:p>
    <w:p w:rsidR="000044E2" w:rsidRPr="000044E2" w:rsidRDefault="000044E2" w:rsidP="000044E2">
      <w:pPr>
        <w:shd w:val="clear" w:color="auto" w:fill="FFFFFF"/>
        <w:adjustRightInd/>
        <w:snapToGrid/>
        <w:spacing w:after="0" w:line="450" w:lineRule="atLeast"/>
        <w:jc w:val="center"/>
        <w:rPr>
          <w:rFonts w:ascii="微软雅黑" w:hAnsi="微软雅黑" w:cs="Helvetica"/>
          <w:color w:val="606060"/>
          <w:spacing w:val="8"/>
          <w:sz w:val="27"/>
          <w:szCs w:val="27"/>
        </w:rPr>
      </w:pPr>
      <w:r w:rsidRPr="000044E2">
        <w:rPr>
          <w:rFonts w:ascii="微软雅黑" w:hAnsi="微软雅黑" w:cs="Helvetica" w:hint="eastAsia"/>
          <w:b/>
          <w:bCs/>
          <w:color w:val="606060"/>
          <w:spacing w:val="8"/>
          <w:sz w:val="27"/>
        </w:rPr>
        <w:t>国务院关于修改《医疗器械监督管理条例》的决定</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国务院决定对《医疗器械监督管理条例》作如下修改：</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w:t>
      </w:r>
      <w:r w:rsidRPr="000044E2">
        <w:rPr>
          <w:rFonts w:ascii="微软雅黑" w:hAnsi="微软雅黑" w:cs="Helvetica" w:hint="eastAsia"/>
          <w:b/>
          <w:bCs/>
          <w:color w:val="606060"/>
          <w:spacing w:val="8"/>
          <w:sz w:val="27"/>
        </w:rPr>
        <w:t>一</w:t>
      </w:r>
      <w:r w:rsidRPr="000044E2">
        <w:rPr>
          <w:rFonts w:ascii="微软雅黑" w:hAnsi="微软雅黑" w:cs="Helvetica" w:hint="eastAsia"/>
          <w:color w:val="606060"/>
          <w:spacing w:val="8"/>
          <w:sz w:val="27"/>
          <w:szCs w:val="27"/>
        </w:rPr>
        <w:t>、将</w:t>
      </w:r>
      <w:r w:rsidRPr="000044E2">
        <w:rPr>
          <w:rFonts w:ascii="微软雅黑" w:hAnsi="微软雅黑" w:cs="Helvetica" w:hint="eastAsia"/>
          <w:color w:val="7B0C00"/>
          <w:spacing w:val="8"/>
          <w:sz w:val="27"/>
          <w:szCs w:val="27"/>
        </w:rPr>
        <w:t>第十八条</w:t>
      </w:r>
      <w:r w:rsidRPr="000044E2">
        <w:rPr>
          <w:rFonts w:ascii="微软雅黑" w:hAnsi="微软雅黑" w:cs="Helvetica" w:hint="eastAsia"/>
          <w:color w:val="606060"/>
          <w:spacing w:val="8"/>
          <w:sz w:val="27"/>
          <w:szCs w:val="27"/>
        </w:rPr>
        <w:t>修改为：“</w:t>
      </w:r>
      <w:r w:rsidRPr="000044E2">
        <w:rPr>
          <w:rFonts w:ascii="微软雅黑" w:hAnsi="微软雅黑" w:cs="Helvetica" w:hint="eastAsia"/>
          <w:color w:val="7B0C00"/>
          <w:spacing w:val="8"/>
          <w:sz w:val="27"/>
          <w:szCs w:val="27"/>
        </w:rPr>
        <w:t>开展医疗器械临床试验，应当按照医疗器械临床试验质量管理规范的要求，在具备相应条件的临床试验机构进行</w:t>
      </w:r>
      <w:r w:rsidRPr="000044E2">
        <w:rPr>
          <w:rFonts w:ascii="微软雅黑" w:hAnsi="微软雅黑" w:cs="Helvetica" w:hint="eastAsia"/>
          <w:color w:val="606060"/>
          <w:spacing w:val="8"/>
          <w:sz w:val="27"/>
          <w:szCs w:val="27"/>
        </w:rPr>
        <w:t>，并向临床试验提出者所在地省、自治区、直辖市人民政府食品药品监督管理部门备案。接受临床试验备案的食品药品监督管理部门应当将备案情况通报临床试验机构所在地的同级食品药品监督管理部门和卫生计生主管部门。</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w:t>
      </w:r>
      <w:r w:rsidRPr="000044E2">
        <w:rPr>
          <w:rFonts w:ascii="微软雅黑" w:hAnsi="微软雅黑" w:cs="Helvetica" w:hint="eastAsia"/>
          <w:color w:val="7B0C00"/>
          <w:spacing w:val="8"/>
          <w:sz w:val="27"/>
          <w:szCs w:val="27"/>
        </w:rPr>
        <w:t>医疗器械临床试验机构实行备案管理</w:t>
      </w:r>
      <w:r w:rsidRPr="000044E2">
        <w:rPr>
          <w:rFonts w:ascii="微软雅黑" w:hAnsi="微软雅黑" w:cs="Helvetica" w:hint="eastAsia"/>
          <w:color w:val="606060"/>
          <w:spacing w:val="8"/>
          <w:sz w:val="27"/>
          <w:szCs w:val="27"/>
        </w:rPr>
        <w:t>。医疗器械临床试验机构应当具备的条件及备案管理办法和临床试验质量管理规范，由国务院食品药品监督管理部门会同国务院卫生计生主管部门制定并公布。”</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w:t>
      </w:r>
      <w:r w:rsidRPr="000044E2">
        <w:rPr>
          <w:rFonts w:ascii="微软雅黑" w:hAnsi="微软雅黑" w:cs="Helvetica" w:hint="eastAsia"/>
          <w:b/>
          <w:bCs/>
          <w:color w:val="606060"/>
          <w:spacing w:val="8"/>
          <w:sz w:val="27"/>
        </w:rPr>
        <w:t>二</w:t>
      </w:r>
      <w:r w:rsidRPr="000044E2">
        <w:rPr>
          <w:rFonts w:ascii="微软雅黑" w:hAnsi="微软雅黑" w:cs="Helvetica" w:hint="eastAsia"/>
          <w:color w:val="606060"/>
          <w:spacing w:val="8"/>
          <w:sz w:val="27"/>
          <w:szCs w:val="27"/>
        </w:rPr>
        <w:t>、将</w:t>
      </w:r>
      <w:r w:rsidRPr="000044E2">
        <w:rPr>
          <w:rFonts w:ascii="微软雅黑" w:hAnsi="微软雅黑" w:cs="Helvetica" w:hint="eastAsia"/>
          <w:color w:val="7B0C00"/>
          <w:spacing w:val="8"/>
          <w:sz w:val="27"/>
          <w:szCs w:val="27"/>
        </w:rPr>
        <w:t>第三十四条第一款、第二款</w:t>
      </w:r>
      <w:r w:rsidRPr="000044E2">
        <w:rPr>
          <w:rFonts w:ascii="微软雅黑" w:hAnsi="微软雅黑" w:cs="Helvetica" w:hint="eastAsia"/>
          <w:color w:val="606060"/>
          <w:spacing w:val="8"/>
          <w:sz w:val="27"/>
          <w:szCs w:val="27"/>
        </w:rPr>
        <w:t>合并，作为第一款：“</w:t>
      </w:r>
      <w:r w:rsidRPr="000044E2">
        <w:rPr>
          <w:rFonts w:ascii="微软雅黑" w:hAnsi="微软雅黑" w:cs="Helvetica" w:hint="eastAsia"/>
          <w:color w:val="7B0C00"/>
          <w:spacing w:val="8"/>
          <w:sz w:val="27"/>
          <w:szCs w:val="27"/>
        </w:rPr>
        <w:t>医疗器械使用单位应当有与在用医疗器械品种、数量相适应的贮存场所和条件。</w:t>
      </w:r>
      <w:r w:rsidRPr="000044E2">
        <w:rPr>
          <w:rFonts w:ascii="微软雅黑" w:hAnsi="微软雅黑" w:cs="Helvetica" w:hint="eastAsia"/>
          <w:color w:val="606060"/>
          <w:spacing w:val="8"/>
          <w:sz w:val="27"/>
          <w:szCs w:val="27"/>
        </w:rPr>
        <w:t>医疗器械使用单位应当加强对工作人员的技术培训，按照产品说明书、技术操作规范等要求使用医疗器械。”</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增加一款，作为第二款：“</w:t>
      </w:r>
      <w:r w:rsidRPr="000044E2">
        <w:rPr>
          <w:rFonts w:ascii="微软雅黑" w:hAnsi="微软雅黑" w:cs="Helvetica" w:hint="eastAsia"/>
          <w:color w:val="7B0C00"/>
          <w:spacing w:val="8"/>
          <w:sz w:val="27"/>
          <w:szCs w:val="27"/>
        </w:rPr>
        <w:t>医疗器械使用单位配置大型医用设备，应当符合国务院卫生计生主管部门制定的大型医用设备配置规划</w:t>
      </w:r>
      <w:r w:rsidRPr="000044E2">
        <w:rPr>
          <w:rFonts w:ascii="微软雅黑" w:hAnsi="微软雅黑" w:cs="Helvetica" w:hint="eastAsia"/>
          <w:color w:val="606060"/>
          <w:spacing w:val="8"/>
          <w:sz w:val="27"/>
          <w:szCs w:val="27"/>
        </w:rPr>
        <w:t>，与其功能定位、临床服务需求相适应，具有相应的技术条件、</w:t>
      </w:r>
      <w:r w:rsidRPr="000044E2">
        <w:rPr>
          <w:rFonts w:ascii="微软雅黑" w:hAnsi="微软雅黑" w:cs="Helvetica" w:hint="eastAsia"/>
          <w:color w:val="606060"/>
          <w:spacing w:val="8"/>
          <w:sz w:val="27"/>
          <w:szCs w:val="27"/>
        </w:rPr>
        <w:lastRenderedPageBreak/>
        <w:t>配套设施和具备相应资质、能力的专业技术人员，并经省级以上人民政府卫生计生主管部门批准，取得大型医用设备配置许可证。”</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增加一款，作为第三款：“</w:t>
      </w:r>
      <w:r w:rsidRPr="000044E2">
        <w:rPr>
          <w:rFonts w:ascii="微软雅黑" w:hAnsi="微软雅黑" w:cs="Helvetica" w:hint="eastAsia"/>
          <w:color w:val="7B0C00"/>
          <w:spacing w:val="8"/>
          <w:sz w:val="27"/>
          <w:szCs w:val="27"/>
        </w:rPr>
        <w:t>大型医用设备配置管理办法由国务院卫生计生主管部门会同国务院有关部门制定。</w:t>
      </w:r>
      <w:r w:rsidRPr="000044E2">
        <w:rPr>
          <w:rFonts w:ascii="微软雅黑" w:hAnsi="微软雅黑" w:cs="Helvetica" w:hint="eastAsia"/>
          <w:color w:val="606060"/>
          <w:spacing w:val="8"/>
          <w:sz w:val="27"/>
          <w:szCs w:val="27"/>
        </w:rPr>
        <w:t>大型医用设备目录由国务院卫生计生主管部门商国务院有关部门提出，报国务院批准后执行。”</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w:t>
      </w:r>
      <w:r w:rsidRPr="000044E2">
        <w:rPr>
          <w:rFonts w:ascii="微软雅黑" w:hAnsi="微软雅黑" w:cs="Helvetica" w:hint="eastAsia"/>
          <w:b/>
          <w:bCs/>
          <w:color w:val="606060"/>
          <w:spacing w:val="8"/>
          <w:sz w:val="27"/>
        </w:rPr>
        <w:t>三</w:t>
      </w:r>
      <w:r w:rsidRPr="000044E2">
        <w:rPr>
          <w:rFonts w:ascii="微软雅黑" w:hAnsi="微软雅黑" w:cs="Helvetica" w:hint="eastAsia"/>
          <w:color w:val="606060"/>
          <w:spacing w:val="8"/>
          <w:sz w:val="27"/>
          <w:szCs w:val="27"/>
        </w:rPr>
        <w:t>、将</w:t>
      </w:r>
      <w:r w:rsidRPr="000044E2">
        <w:rPr>
          <w:rFonts w:ascii="微软雅黑" w:hAnsi="微软雅黑" w:cs="Helvetica" w:hint="eastAsia"/>
          <w:color w:val="7B0C00"/>
          <w:spacing w:val="8"/>
          <w:sz w:val="27"/>
          <w:szCs w:val="27"/>
        </w:rPr>
        <w:t>第五十六条第一款、第二款</w:t>
      </w:r>
      <w:r w:rsidRPr="000044E2">
        <w:rPr>
          <w:rFonts w:ascii="微软雅黑" w:hAnsi="微软雅黑" w:cs="Helvetica" w:hint="eastAsia"/>
          <w:color w:val="606060"/>
          <w:spacing w:val="8"/>
          <w:sz w:val="27"/>
          <w:szCs w:val="27"/>
        </w:rPr>
        <w:t>合并，作为第一款：“食品药品监督管理部门应当加强对医疗器械生产经营企业和使用单位生产、经营、使用的医疗器械的抽查检验。抽查检验不得收取检验费和其他任何费用，所需费用纳入本级政府预算。省级以上人民政府食品药品监督管理部门应当根据抽查检验结论及时发布医疗器械质量公告。”</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增加一款，作为第二款：“卫生计生主管部门应当对大型医用设备的使用状况进行监督和评估；发现违规使用以及与大型医用设备相关的过度检查、过度治疗等情形的，应当立即纠正，依法予以处理。”</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w:t>
      </w:r>
      <w:r w:rsidRPr="000044E2">
        <w:rPr>
          <w:rFonts w:ascii="微软雅黑" w:hAnsi="微软雅黑" w:cs="Helvetica" w:hint="eastAsia"/>
          <w:b/>
          <w:bCs/>
          <w:color w:val="606060"/>
          <w:spacing w:val="8"/>
          <w:sz w:val="27"/>
        </w:rPr>
        <w:t>四</w:t>
      </w:r>
      <w:r w:rsidRPr="000044E2">
        <w:rPr>
          <w:rFonts w:ascii="微软雅黑" w:hAnsi="微软雅黑" w:cs="Helvetica" w:hint="eastAsia"/>
          <w:color w:val="606060"/>
          <w:spacing w:val="8"/>
          <w:sz w:val="27"/>
          <w:szCs w:val="27"/>
        </w:rPr>
        <w:t>、</w:t>
      </w:r>
      <w:r w:rsidRPr="000044E2">
        <w:rPr>
          <w:rFonts w:ascii="微软雅黑" w:hAnsi="微软雅黑" w:cs="Helvetica" w:hint="eastAsia"/>
          <w:color w:val="7B0C00"/>
          <w:spacing w:val="8"/>
          <w:sz w:val="27"/>
          <w:szCs w:val="27"/>
        </w:rPr>
        <w:t>第六十三条</w:t>
      </w:r>
      <w:r w:rsidRPr="000044E2">
        <w:rPr>
          <w:rFonts w:ascii="微软雅黑" w:hAnsi="微软雅黑" w:cs="Helvetica" w:hint="eastAsia"/>
          <w:color w:val="606060"/>
          <w:spacing w:val="8"/>
          <w:sz w:val="27"/>
          <w:szCs w:val="27"/>
        </w:rPr>
        <w:t>增加一款，作为第三款：“</w:t>
      </w:r>
      <w:r w:rsidRPr="000044E2">
        <w:rPr>
          <w:rFonts w:ascii="微软雅黑" w:hAnsi="微软雅黑" w:cs="Helvetica" w:hint="eastAsia"/>
          <w:color w:val="7B0C00"/>
          <w:spacing w:val="8"/>
          <w:sz w:val="27"/>
          <w:szCs w:val="27"/>
        </w:rPr>
        <w:t>未经许可擅自配置使用大型医用设备的</w:t>
      </w:r>
      <w:r w:rsidRPr="000044E2">
        <w:rPr>
          <w:rFonts w:ascii="微软雅黑" w:hAnsi="微软雅黑" w:cs="Helvetica" w:hint="eastAsia"/>
          <w:color w:val="606060"/>
          <w:spacing w:val="8"/>
          <w:sz w:val="27"/>
          <w:szCs w:val="27"/>
        </w:rPr>
        <w:t>，由县级以上人民政府卫生计生主管部门责令停止使用，给予警告，没收违法所得；违法所得不足1万元的，并处1万元以上5万元以下罚款；违法所得1万元以上的，并处违法所得5倍以上10倍以下罚款；情节严重的，</w:t>
      </w:r>
      <w:r w:rsidRPr="000044E2">
        <w:rPr>
          <w:rFonts w:ascii="微软雅黑" w:hAnsi="微软雅黑" w:cs="Helvetica" w:hint="eastAsia"/>
          <w:color w:val="7B0C00"/>
          <w:spacing w:val="8"/>
          <w:sz w:val="27"/>
          <w:szCs w:val="27"/>
        </w:rPr>
        <w:t>5年内不受理相关责任人及单位提出的大型医用设备配置许可申请。</w:t>
      </w:r>
      <w:r w:rsidRPr="000044E2">
        <w:rPr>
          <w:rFonts w:ascii="微软雅黑" w:hAnsi="微软雅黑" w:cs="Helvetica" w:hint="eastAsia"/>
          <w:color w:val="606060"/>
          <w:spacing w:val="8"/>
          <w:sz w:val="27"/>
          <w:szCs w:val="27"/>
        </w:rPr>
        <w:t>”</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w:t>
      </w:r>
      <w:r w:rsidRPr="000044E2">
        <w:rPr>
          <w:rFonts w:ascii="微软雅黑" w:hAnsi="微软雅黑" w:cs="Helvetica" w:hint="eastAsia"/>
          <w:b/>
          <w:bCs/>
          <w:color w:val="606060"/>
          <w:spacing w:val="8"/>
          <w:sz w:val="27"/>
        </w:rPr>
        <w:t>五</w:t>
      </w:r>
      <w:r w:rsidRPr="000044E2">
        <w:rPr>
          <w:rFonts w:ascii="微软雅黑" w:hAnsi="微软雅黑" w:cs="Helvetica" w:hint="eastAsia"/>
          <w:color w:val="606060"/>
          <w:spacing w:val="8"/>
          <w:sz w:val="27"/>
          <w:szCs w:val="27"/>
        </w:rPr>
        <w:t>、将</w:t>
      </w:r>
      <w:r w:rsidRPr="000044E2">
        <w:rPr>
          <w:rFonts w:ascii="微软雅黑" w:hAnsi="微软雅黑" w:cs="Helvetica" w:hint="eastAsia"/>
          <w:color w:val="7B0C00"/>
          <w:spacing w:val="8"/>
          <w:sz w:val="27"/>
          <w:szCs w:val="27"/>
        </w:rPr>
        <w:t>第六十四条第一款</w:t>
      </w:r>
      <w:r w:rsidRPr="000044E2">
        <w:rPr>
          <w:rFonts w:ascii="微软雅黑" w:hAnsi="微软雅黑" w:cs="Helvetica" w:hint="eastAsia"/>
          <w:color w:val="606060"/>
          <w:spacing w:val="8"/>
          <w:sz w:val="27"/>
          <w:szCs w:val="27"/>
        </w:rPr>
        <w:t>修改为：“</w:t>
      </w:r>
      <w:r w:rsidRPr="000044E2">
        <w:rPr>
          <w:rFonts w:ascii="微软雅黑" w:hAnsi="微软雅黑" w:cs="Helvetica" w:hint="eastAsia"/>
          <w:color w:val="7B0C00"/>
          <w:spacing w:val="8"/>
          <w:sz w:val="27"/>
          <w:szCs w:val="27"/>
        </w:rPr>
        <w:t>提供虚假资料或者采取其他欺骗手段取得医疗器械注册证、医疗器械生产许可证、医疗器械经营许可证、大型医用设备配置许可证、广告批准文件等许可证件的</w:t>
      </w:r>
      <w:r w:rsidRPr="000044E2">
        <w:rPr>
          <w:rFonts w:ascii="微软雅黑" w:hAnsi="微软雅黑" w:cs="Helvetica" w:hint="eastAsia"/>
          <w:color w:val="606060"/>
          <w:spacing w:val="8"/>
          <w:sz w:val="27"/>
          <w:szCs w:val="27"/>
        </w:rPr>
        <w:t>，由原发证部门撤销已经取得的许可证件，并处5万元以上10万元以下罚款，</w:t>
      </w:r>
      <w:r w:rsidRPr="000044E2">
        <w:rPr>
          <w:rFonts w:ascii="微软雅黑" w:hAnsi="微软雅黑" w:cs="Helvetica" w:hint="eastAsia"/>
          <w:color w:val="7B0C00"/>
          <w:spacing w:val="8"/>
          <w:sz w:val="27"/>
          <w:szCs w:val="27"/>
        </w:rPr>
        <w:t>5年内不受理相关责任人及单位提出的医疗器械许可申请。</w:t>
      </w:r>
      <w:r w:rsidRPr="000044E2">
        <w:rPr>
          <w:rFonts w:ascii="微软雅黑" w:hAnsi="微软雅黑" w:cs="Helvetica" w:hint="eastAsia"/>
          <w:color w:val="606060"/>
          <w:spacing w:val="8"/>
          <w:sz w:val="27"/>
          <w:szCs w:val="27"/>
        </w:rPr>
        <w:t>”</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w:t>
      </w:r>
      <w:r w:rsidRPr="000044E2">
        <w:rPr>
          <w:rFonts w:ascii="微软雅黑" w:hAnsi="微软雅黑" w:cs="Helvetica" w:hint="eastAsia"/>
          <w:b/>
          <w:bCs/>
          <w:color w:val="606060"/>
          <w:spacing w:val="8"/>
          <w:sz w:val="27"/>
        </w:rPr>
        <w:t>六</w:t>
      </w:r>
      <w:r w:rsidRPr="000044E2">
        <w:rPr>
          <w:rFonts w:ascii="微软雅黑" w:hAnsi="微软雅黑" w:cs="Helvetica" w:hint="eastAsia"/>
          <w:color w:val="606060"/>
          <w:spacing w:val="8"/>
          <w:sz w:val="27"/>
          <w:szCs w:val="27"/>
        </w:rPr>
        <w:t>、</w:t>
      </w:r>
      <w:r w:rsidRPr="000044E2">
        <w:rPr>
          <w:rFonts w:ascii="微软雅黑" w:hAnsi="微软雅黑" w:cs="Helvetica" w:hint="eastAsia"/>
          <w:color w:val="7B0C00"/>
          <w:spacing w:val="8"/>
          <w:sz w:val="27"/>
          <w:szCs w:val="27"/>
        </w:rPr>
        <w:t>第六十六条</w:t>
      </w:r>
      <w:r w:rsidRPr="000044E2">
        <w:rPr>
          <w:rFonts w:ascii="微软雅黑" w:hAnsi="微软雅黑" w:cs="Helvetica" w:hint="eastAsia"/>
          <w:color w:val="606060"/>
          <w:spacing w:val="8"/>
          <w:sz w:val="27"/>
          <w:szCs w:val="27"/>
        </w:rPr>
        <w:t>增加一款，作为第二款：“医疗器械经营企业、使用单位履行了本条例规定的进货查验等义务，有充分证据证明其</w:t>
      </w:r>
      <w:r w:rsidRPr="000044E2">
        <w:rPr>
          <w:rFonts w:ascii="微软雅黑" w:hAnsi="微软雅黑" w:cs="Helvetica" w:hint="eastAsia"/>
          <w:color w:val="606060"/>
          <w:spacing w:val="8"/>
          <w:sz w:val="27"/>
          <w:szCs w:val="27"/>
        </w:rPr>
        <w:lastRenderedPageBreak/>
        <w:t>不知道所经营、使用的医疗器械为前款第一项、第三项规定情形的医疗器械，并能如实说明其进货来源的，可以免予处罚，但应当依法没收其经营、使用的不符合法定要求的医疗器械。”</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w:t>
      </w:r>
      <w:r w:rsidRPr="000044E2">
        <w:rPr>
          <w:rFonts w:ascii="微软雅黑" w:hAnsi="微软雅黑" w:cs="Helvetica" w:hint="eastAsia"/>
          <w:b/>
          <w:bCs/>
          <w:color w:val="606060"/>
          <w:spacing w:val="8"/>
          <w:sz w:val="27"/>
        </w:rPr>
        <w:t>七</w:t>
      </w:r>
      <w:r w:rsidRPr="000044E2">
        <w:rPr>
          <w:rFonts w:ascii="微软雅黑" w:hAnsi="微软雅黑" w:cs="Helvetica" w:hint="eastAsia"/>
          <w:color w:val="606060"/>
          <w:spacing w:val="8"/>
          <w:sz w:val="27"/>
          <w:szCs w:val="27"/>
        </w:rPr>
        <w:t>、</w:t>
      </w:r>
      <w:r w:rsidRPr="000044E2">
        <w:rPr>
          <w:rFonts w:ascii="微软雅黑" w:hAnsi="微软雅黑" w:cs="Helvetica" w:hint="eastAsia"/>
          <w:color w:val="7B0C00"/>
          <w:spacing w:val="8"/>
          <w:sz w:val="27"/>
          <w:szCs w:val="27"/>
        </w:rPr>
        <w:t>第六十八条</w:t>
      </w:r>
      <w:r w:rsidRPr="000044E2">
        <w:rPr>
          <w:rFonts w:ascii="微软雅黑" w:hAnsi="微软雅黑" w:cs="Helvetica" w:hint="eastAsia"/>
          <w:color w:val="606060"/>
          <w:spacing w:val="8"/>
          <w:sz w:val="27"/>
          <w:szCs w:val="27"/>
        </w:rPr>
        <w:t>增加一项，作为第九项：“（九）医疗器械使用单位违规使用大型医用设备，不能保障医疗质量安全的”，并将原第九项改为第十项。</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w:t>
      </w:r>
      <w:r w:rsidRPr="000044E2">
        <w:rPr>
          <w:rFonts w:ascii="微软雅黑" w:hAnsi="微软雅黑" w:cs="Helvetica" w:hint="eastAsia"/>
          <w:b/>
          <w:bCs/>
          <w:color w:val="606060"/>
          <w:spacing w:val="8"/>
          <w:sz w:val="27"/>
        </w:rPr>
        <w:t>八</w:t>
      </w:r>
      <w:r w:rsidRPr="000044E2">
        <w:rPr>
          <w:rFonts w:ascii="微软雅黑" w:hAnsi="微软雅黑" w:cs="Helvetica" w:hint="eastAsia"/>
          <w:color w:val="606060"/>
          <w:spacing w:val="8"/>
          <w:sz w:val="27"/>
          <w:szCs w:val="27"/>
        </w:rPr>
        <w:t>、将</w:t>
      </w:r>
      <w:r w:rsidRPr="000044E2">
        <w:rPr>
          <w:rFonts w:ascii="微软雅黑" w:hAnsi="微软雅黑" w:cs="Helvetica" w:hint="eastAsia"/>
          <w:color w:val="7B0C00"/>
          <w:spacing w:val="8"/>
          <w:sz w:val="27"/>
          <w:szCs w:val="27"/>
        </w:rPr>
        <w:t>第六十九条</w:t>
      </w:r>
      <w:r w:rsidRPr="000044E2">
        <w:rPr>
          <w:rFonts w:ascii="微软雅黑" w:hAnsi="微软雅黑" w:cs="Helvetica" w:hint="eastAsia"/>
          <w:color w:val="606060"/>
          <w:spacing w:val="8"/>
          <w:sz w:val="27"/>
          <w:szCs w:val="27"/>
        </w:rPr>
        <w:t>修改为：“</w:t>
      </w:r>
      <w:r w:rsidRPr="000044E2">
        <w:rPr>
          <w:rFonts w:ascii="微软雅黑" w:hAnsi="微软雅黑" w:cs="Helvetica" w:hint="eastAsia"/>
          <w:color w:val="7B0C00"/>
          <w:spacing w:val="8"/>
          <w:sz w:val="27"/>
          <w:szCs w:val="27"/>
        </w:rPr>
        <w:t>违反本条例规定开展医疗器械临床试验的</w:t>
      </w:r>
      <w:r w:rsidRPr="000044E2">
        <w:rPr>
          <w:rFonts w:ascii="微软雅黑" w:hAnsi="微软雅黑" w:cs="Helvetica" w:hint="eastAsia"/>
          <w:color w:val="606060"/>
          <w:spacing w:val="8"/>
          <w:sz w:val="27"/>
          <w:szCs w:val="27"/>
        </w:rPr>
        <w:t>，由县级以上人民政府食品药品监督管理部门责令改正或者立即停止临床试验，可以处5万元以下罚款；造成严重后果的，依法对直接负责的主管人员和其他直接责任人员给予降级、撤职或者开除的处分；</w:t>
      </w:r>
      <w:r w:rsidRPr="000044E2">
        <w:rPr>
          <w:rFonts w:ascii="微软雅黑" w:hAnsi="微软雅黑" w:cs="Helvetica" w:hint="eastAsia"/>
          <w:color w:val="7B0C00"/>
          <w:spacing w:val="8"/>
          <w:sz w:val="27"/>
          <w:szCs w:val="27"/>
        </w:rPr>
        <w:t>该机构5年内不得开展相关专业医疗器械临床试验</w:t>
      </w:r>
      <w:r w:rsidRPr="000044E2">
        <w:rPr>
          <w:rFonts w:ascii="微软雅黑" w:hAnsi="微软雅黑" w:cs="Helvetica" w:hint="eastAsia"/>
          <w:color w:val="606060"/>
          <w:spacing w:val="8"/>
          <w:sz w:val="27"/>
          <w:szCs w:val="27"/>
        </w:rPr>
        <w:t>。</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w:t>
      </w:r>
      <w:r w:rsidRPr="000044E2">
        <w:rPr>
          <w:rFonts w:ascii="微软雅黑" w:hAnsi="微软雅黑" w:cs="Helvetica" w:hint="eastAsia"/>
          <w:color w:val="7B0C00"/>
          <w:spacing w:val="8"/>
          <w:sz w:val="27"/>
          <w:szCs w:val="27"/>
        </w:rPr>
        <w:t>医疗器械临床试验机构出具虚假报告的</w:t>
      </w:r>
      <w:r w:rsidRPr="000044E2">
        <w:rPr>
          <w:rFonts w:ascii="微软雅黑" w:hAnsi="微软雅黑" w:cs="Helvetica" w:hint="eastAsia"/>
          <w:color w:val="606060"/>
          <w:spacing w:val="8"/>
          <w:sz w:val="27"/>
          <w:szCs w:val="27"/>
        </w:rPr>
        <w:t>，由县级以上人民政府食品药品监督管理部门处5万元以上10万元以下罚款；有违法所得的，没收违法所得；对直接负责的主管人员和其他直接责任人员，依法给予撤职或者开除的处分；</w:t>
      </w:r>
      <w:r w:rsidRPr="000044E2">
        <w:rPr>
          <w:rFonts w:ascii="微软雅黑" w:hAnsi="微软雅黑" w:cs="Helvetica" w:hint="eastAsia"/>
          <w:color w:val="7B0C00"/>
          <w:spacing w:val="8"/>
          <w:sz w:val="27"/>
          <w:szCs w:val="27"/>
        </w:rPr>
        <w:t>该机构10年内不得开展相关专业医疗器械临床试验</w:t>
      </w:r>
      <w:r w:rsidRPr="000044E2">
        <w:rPr>
          <w:rFonts w:ascii="微软雅黑" w:hAnsi="微软雅黑" w:cs="Helvetica" w:hint="eastAsia"/>
          <w:color w:val="606060"/>
          <w:spacing w:val="8"/>
          <w:sz w:val="27"/>
          <w:szCs w:val="27"/>
        </w:rPr>
        <w:t>。”</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w:t>
      </w:r>
      <w:r w:rsidRPr="000044E2">
        <w:rPr>
          <w:rFonts w:ascii="微软雅黑" w:hAnsi="微软雅黑" w:cs="Helvetica" w:hint="eastAsia"/>
          <w:b/>
          <w:bCs/>
          <w:color w:val="606060"/>
          <w:spacing w:val="8"/>
          <w:sz w:val="27"/>
        </w:rPr>
        <w:t>九</w:t>
      </w:r>
      <w:r w:rsidRPr="000044E2">
        <w:rPr>
          <w:rFonts w:ascii="微软雅黑" w:hAnsi="微软雅黑" w:cs="Helvetica" w:hint="eastAsia"/>
          <w:color w:val="606060"/>
          <w:spacing w:val="8"/>
          <w:sz w:val="27"/>
          <w:szCs w:val="27"/>
        </w:rPr>
        <w:t>、将</w:t>
      </w:r>
      <w:r w:rsidRPr="000044E2">
        <w:rPr>
          <w:rFonts w:ascii="微软雅黑" w:hAnsi="微软雅黑" w:cs="Helvetica" w:hint="eastAsia"/>
          <w:color w:val="7B0C00"/>
          <w:spacing w:val="8"/>
          <w:sz w:val="27"/>
          <w:szCs w:val="27"/>
        </w:rPr>
        <w:t>第七十三条</w:t>
      </w:r>
      <w:r w:rsidRPr="000044E2">
        <w:rPr>
          <w:rFonts w:ascii="微软雅黑" w:hAnsi="微软雅黑" w:cs="Helvetica" w:hint="eastAsia"/>
          <w:color w:val="606060"/>
          <w:spacing w:val="8"/>
          <w:sz w:val="27"/>
          <w:szCs w:val="27"/>
        </w:rPr>
        <w:t>修改为：“食品药品监督管理部门、卫生计生主管部门及其工作人员应当严格依照本条例规定的处罚种类和幅度，根据违法行为的性质和具体情节行使行政处罚权，具体办法由国务院食品药品监督管理部门、卫生计生主管部门依据各自职责制定。”</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w:t>
      </w:r>
      <w:r w:rsidRPr="000044E2">
        <w:rPr>
          <w:rFonts w:ascii="微软雅黑" w:hAnsi="微软雅黑" w:cs="Helvetica" w:hint="eastAsia"/>
          <w:b/>
          <w:bCs/>
          <w:color w:val="606060"/>
          <w:spacing w:val="8"/>
          <w:sz w:val="27"/>
        </w:rPr>
        <w:t>十</w:t>
      </w:r>
      <w:r w:rsidRPr="000044E2">
        <w:rPr>
          <w:rFonts w:ascii="微软雅黑" w:hAnsi="微软雅黑" w:cs="Helvetica" w:hint="eastAsia"/>
          <w:color w:val="606060"/>
          <w:spacing w:val="8"/>
          <w:sz w:val="27"/>
          <w:szCs w:val="27"/>
        </w:rPr>
        <w:t>、</w:t>
      </w:r>
      <w:r w:rsidRPr="000044E2">
        <w:rPr>
          <w:rFonts w:ascii="微软雅黑" w:hAnsi="微软雅黑" w:cs="Helvetica" w:hint="eastAsia"/>
          <w:color w:val="7B0C00"/>
          <w:spacing w:val="8"/>
          <w:sz w:val="27"/>
          <w:szCs w:val="27"/>
        </w:rPr>
        <w:t>第七十六条</w:t>
      </w:r>
      <w:r w:rsidRPr="000044E2">
        <w:rPr>
          <w:rFonts w:ascii="微软雅黑" w:hAnsi="微软雅黑" w:cs="Helvetica" w:hint="eastAsia"/>
          <w:color w:val="606060"/>
          <w:spacing w:val="8"/>
          <w:sz w:val="27"/>
          <w:szCs w:val="27"/>
        </w:rPr>
        <w:t>增加规定：“</w:t>
      </w:r>
      <w:r w:rsidRPr="000044E2">
        <w:rPr>
          <w:rFonts w:ascii="微软雅黑" w:hAnsi="微软雅黑" w:cs="Helvetica" w:hint="eastAsia"/>
          <w:color w:val="7B0C00"/>
          <w:spacing w:val="8"/>
          <w:sz w:val="27"/>
          <w:szCs w:val="27"/>
        </w:rPr>
        <w:t>大型医用设备，是指使用技术复杂、资金投入量大、运行成本高、对医疗费用影响大且纳入目录管理的大型医疗器械</w:t>
      </w:r>
      <w:r w:rsidRPr="000044E2">
        <w:rPr>
          <w:rFonts w:ascii="微软雅黑" w:hAnsi="微软雅黑" w:cs="Helvetica" w:hint="eastAsia"/>
          <w:color w:val="606060"/>
          <w:spacing w:val="8"/>
          <w:sz w:val="27"/>
          <w:szCs w:val="27"/>
        </w:rPr>
        <w:t>。”</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本决定自公布之日起施行。</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《医疗器械监督管理条例》根据本决定作相应修改，重新公布。</w:t>
      </w:r>
    </w:p>
    <w:p w:rsidR="000044E2" w:rsidRPr="000044E2" w:rsidRDefault="000044E2" w:rsidP="000044E2">
      <w:pPr>
        <w:shd w:val="clear" w:color="auto" w:fill="FFFFFF"/>
        <w:adjustRightInd/>
        <w:snapToGrid/>
        <w:spacing w:after="0" w:line="450" w:lineRule="atLeast"/>
        <w:jc w:val="center"/>
        <w:rPr>
          <w:rFonts w:ascii="微软雅黑" w:hAnsi="微软雅黑" w:cs="Helvetica"/>
          <w:color w:val="606060"/>
          <w:spacing w:val="8"/>
          <w:sz w:val="27"/>
          <w:szCs w:val="27"/>
        </w:rPr>
      </w:pPr>
      <w:r w:rsidRPr="000044E2">
        <w:rPr>
          <w:rFonts w:ascii="微软雅黑" w:hAnsi="微软雅黑" w:cs="Helvetica" w:hint="eastAsia"/>
          <w:b/>
          <w:bCs/>
          <w:color w:val="606060"/>
          <w:spacing w:val="8"/>
          <w:sz w:val="27"/>
        </w:rPr>
        <w:t>医疗器械监督管理条例</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（2000年1月4日中华人民共和国国务院令第276号公布　2014年2月12日国务院第39次常务会议修订通过　根据2017</w:t>
      </w:r>
      <w:r w:rsidRPr="000044E2">
        <w:rPr>
          <w:rFonts w:ascii="微软雅黑" w:hAnsi="微软雅黑" w:cs="Helvetica" w:hint="eastAsia"/>
          <w:color w:val="606060"/>
          <w:spacing w:val="8"/>
          <w:sz w:val="27"/>
          <w:szCs w:val="27"/>
        </w:rPr>
        <w:lastRenderedPageBreak/>
        <w:t>年5月4日《国务院关于修改〈医疗器械监督管理条例〉的决定》修订）</w:t>
      </w:r>
    </w:p>
    <w:p w:rsidR="000044E2" w:rsidRPr="000044E2" w:rsidRDefault="000044E2" w:rsidP="000044E2">
      <w:pPr>
        <w:shd w:val="clear" w:color="auto" w:fill="FFFFFF"/>
        <w:adjustRightInd/>
        <w:snapToGrid/>
        <w:spacing w:after="0" w:line="450" w:lineRule="atLeast"/>
        <w:jc w:val="center"/>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第一章　总　　则</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第一条　为了保证医疗器械的安全、有效，保障人体健康和生命安全，制定本条例。</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第二条　在中华人民共和国境内从事医疗器械的研制、生产、经营、使用活动及其监督管理，应当遵守本条例。</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第三条　国务院食品药品监督管理部门负责全国医疗器械监督管理工作。国务院有关部门在各自的职责范围内负责与医疗器械有关的监督管理工作。</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县级以上地方人民政府食品药品监督管理部门负责本行政区域的医疗器械监督管理工作。县级以上地方人民政府有关部门在各自的职责范围内负责与医疗器械有关的监督管理工作。</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国务院食品药品监督管理部门应当配合国务院有关部门，贯彻实施国家医疗器械产业规划和政策。</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第四条　国家对医疗器械按照风险程度实行分类管理。</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第一类是风险程度低，实行常规管理可以保证其安全、有效的医疗器械。</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第二类是具有中度风险，需要严格控制管理以保证其安全、有效的医疗器械。</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第三类是具有较高风险，需要采取特别措施严格控制管理以保证其安全、有效的医疗器械。</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评价医疗器械风险程度，应当考虑医疗器械的预期目的、结构特征、使用方法等因素。</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国务院食品药品监督管理部门负责制定医疗器械的分类规则和分类目录，并根据医疗器械生产、经营、使用情况，及时对医疗器械的风险变化进行分析、评价，对分类目录进行调整。制定、调整分类目录，应当充分听取医疗器械生产经营企业以及使用单位、行业组织的意见，并参考国际医疗器械分类实践。医疗器械分类目录应当向社会公布。</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lastRenderedPageBreak/>
        <w:t xml:space="preserve">　　第五条　医疗器械的研制应当遵循安全、有效和节约的原则。国家鼓励医疗器械的研究与创新，发挥市场机制的作用，促进医疗器械新技术的推广和应用，推动医疗器械产业的发展。</w:t>
      </w:r>
    </w:p>
    <w:p w:rsidR="000044E2" w:rsidRPr="00995D8E" w:rsidRDefault="000044E2" w:rsidP="000044E2">
      <w:pPr>
        <w:shd w:val="clear" w:color="auto" w:fill="FFFFFF"/>
        <w:adjustRightInd/>
        <w:snapToGrid/>
        <w:spacing w:after="0" w:line="450" w:lineRule="atLeast"/>
        <w:jc w:val="both"/>
        <w:rPr>
          <w:rFonts w:ascii="微软雅黑" w:hAnsi="微软雅黑" w:cs="Helvetica"/>
          <w:b/>
          <w:color w:val="606060"/>
          <w:spacing w:val="8"/>
          <w:sz w:val="27"/>
          <w:szCs w:val="27"/>
        </w:rPr>
      </w:pPr>
      <w:r w:rsidRPr="000044E2">
        <w:rPr>
          <w:rFonts w:ascii="微软雅黑" w:hAnsi="微软雅黑" w:cs="Helvetica" w:hint="eastAsia"/>
          <w:color w:val="606060"/>
          <w:spacing w:val="8"/>
          <w:sz w:val="27"/>
          <w:szCs w:val="27"/>
        </w:rPr>
        <w:t xml:space="preserve">　　</w:t>
      </w:r>
      <w:r w:rsidRPr="00995D8E">
        <w:rPr>
          <w:rFonts w:ascii="微软雅黑" w:hAnsi="微软雅黑" w:cs="Helvetica" w:hint="eastAsia"/>
          <w:b/>
          <w:color w:val="606060"/>
          <w:spacing w:val="8"/>
          <w:sz w:val="27"/>
          <w:szCs w:val="27"/>
        </w:rPr>
        <w:t>第六条　医疗器械产品应当符合医疗器械强制性国家标准；尚无强制性国家标准的，应当符合医疗器械强制性行业标准。</w:t>
      </w:r>
    </w:p>
    <w:p w:rsidR="000044E2" w:rsidRPr="00995D8E" w:rsidRDefault="000044E2" w:rsidP="000044E2">
      <w:pPr>
        <w:shd w:val="clear" w:color="auto" w:fill="FFFFFF"/>
        <w:adjustRightInd/>
        <w:snapToGrid/>
        <w:spacing w:after="0" w:line="450" w:lineRule="atLeast"/>
        <w:jc w:val="both"/>
        <w:rPr>
          <w:rFonts w:ascii="微软雅黑" w:hAnsi="微软雅黑" w:cs="Helvetica"/>
          <w:b/>
          <w:color w:val="606060"/>
          <w:spacing w:val="8"/>
          <w:sz w:val="27"/>
          <w:szCs w:val="27"/>
        </w:rPr>
      </w:pPr>
      <w:r w:rsidRPr="00995D8E">
        <w:rPr>
          <w:rFonts w:ascii="微软雅黑" w:hAnsi="微软雅黑" w:cs="Helvetica" w:hint="eastAsia"/>
          <w:b/>
          <w:color w:val="606060"/>
          <w:spacing w:val="8"/>
          <w:sz w:val="27"/>
          <w:szCs w:val="27"/>
        </w:rPr>
        <w:t xml:space="preserve">　　一次性使用的医疗器械目录由国务院食品药品监督管理部门会同国务院卫生计生主管部门制定、调整并公布。重复使用可以保证安全、有效的医疗器械，不列入一次性使用的医疗器械目录。对因设计、生产工艺、消毒灭菌技术等改进后重复使用可以保证安全、有效的医疗器械，应当调整出一次性使用的医疗器械目录。</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第七条　医疗器械行业组织应当加强行业自律，推进诚信体系建设，督促企业依法开展生产经营活动，引导企业诚实守信。</w:t>
      </w:r>
    </w:p>
    <w:p w:rsidR="000044E2" w:rsidRPr="000044E2" w:rsidRDefault="000044E2" w:rsidP="000044E2">
      <w:pPr>
        <w:shd w:val="clear" w:color="auto" w:fill="FFFFFF"/>
        <w:adjustRightInd/>
        <w:snapToGrid/>
        <w:spacing w:after="0" w:line="450" w:lineRule="atLeast"/>
        <w:jc w:val="center"/>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第二章　医疗器械产品注册与备案</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第八条　第一类医疗器械实行产品备案管理，第二类、第三类医疗器械实行产品注册管理。</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第九条　第一类医疗器械产品备案和申请第二类、第三类医疗器械产品注册，应当提交下列资料：</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（一）产品风险分析资料；</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（二）产品技术要求；</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（三）产品检验报告；</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（四）临床评价资料；</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（五）产品说明书及标签样稿；</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（六）与产品研制、生产有关的质量管理体系文件；</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（七）证明产品安全、有效所需的其他资料。</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医疗器械注册申请人、备案人应当对所提交资料的真实性负责。</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第十条　第一类医疗器械产品备案，由备案人向所在地设区的市级人民政府食品药品监督管理部门提交备案资料。其中，产品检验报告可以是备案人的自检报告；临床评价资料不包括临床试验报告，可以是通过文献、同类产品临床使用获得的数据证明该医疗器械安全、有效的资料。</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lastRenderedPageBreak/>
        <w:t xml:space="preserve">　　向我国境内出口第一类医疗器械的境外生产企业，由其在我国境内设立的代表机构或者指定我国境内的企业法人作为代理人，向国务院食品药品监督管理部门提交备案资料和备案人所在国（地区）主管部门准许该医疗器械上市销售的证明文件。</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备案资料载明的事项发生变化的，应当向原备案部门变更备案。</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第十一条　申请第二类医疗器械产品注册，注册申请人应当向所在地省、自治区、直辖市人民政府食品药品监督管理部门提交注册申请资料。申请第三类医疗器械产品注册，注册申请人应当向国务院食品药品监督管理部门提交注册申请资料。</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向我国境内出口第二类、第三类医疗器械的境外生产企业，应当由其在我国境内设立的代表机构或者指定我国境内的企业法人作为代理人，向国务院食品药品监督管理部门提交注册申请资料和注册申请人所在国（地区）主管部门准许该医疗器械上市销售的证明文件。</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第二类、第三类医疗器械产品注册申请资料中的产品检验报告应当是医疗器械检验机构出具的检验报告；临床评价资料应当包括临床试验报告，但依照本条例第十七条的规定免于进行临床试验的医疗器械除外。</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第十二条　受理注册申请的食品药品监督管理部门应当自受理之日起3个工作日内将注册申请资料转交技术审评机构。技术审评机构应当在完成技术审评后向食品药品监督管理部门提交审评意见。</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第十三条　受理注册申请的食品药品监督管理部门应当自收到审评意见之日起20个工作日内作出决定。对符合安全、有效要求的，准予注册并发给医疗器械注册证；对不符合要求的，不予注册并书面说明理由。</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国务院食品药品监督管理部门在组织对进口医疗器械的技术审评时认为有必要对质量管理体系进行核查的，应当组织质量管理体系检查技术机构开展质量管理体系核查。</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第十四条　已注册的第二类、第三类医疗器械产品，其设计、原材料、生产工艺、适用范围、使用方法等发生实质性变化，有可</w:t>
      </w:r>
      <w:r w:rsidRPr="000044E2">
        <w:rPr>
          <w:rFonts w:ascii="微软雅黑" w:hAnsi="微软雅黑" w:cs="Helvetica" w:hint="eastAsia"/>
          <w:color w:val="606060"/>
          <w:spacing w:val="8"/>
          <w:sz w:val="27"/>
          <w:szCs w:val="27"/>
        </w:rPr>
        <w:lastRenderedPageBreak/>
        <w:t>能影响该医疗器械安全、有效的，注册人应当向原注册部门申请办理变更注册手续；发生非实质性变化，不影响该医疗器械安全、有效的，应当将变化情况向原注册部门备案。</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第十五条　医疗器械注册证有效期为5年。有效期届满需要延续注册的，应当在有效期届满6个月前向原注册部门提出延续注册的申请。</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除有本条第三款规定情形外，接到延续注册申请的食品药品监督管理部门应当在医疗器械注册证有效期届满前作出准予延续的决定。逾期未作决定的，视为准予延续。</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有下列情形之一的，不予延续注册：</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（一）注册人未在规定期限内提出延续注册申请的；</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（二）医疗器械强制性标准已经修订，申请延续注册的医疗器械不能达到新要求的；</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（三）对用于治疗罕见疾病以及应对突发公共卫生事件急需的医疗器械，未在规定期限内完成医疗器械注册证载明事项的。</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第十六条　对新研制的尚未列入分类目录的医疗器械，申请人可以依照本条例有关第三类医疗器械产品注册的规定直接申请产品注册，也可以依据分类规则判断产品类别并向国务院食品药品监督管理部门申请类别确认后依照本条例的规定申请注册或者进行产品备案。</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直接申请第三类医疗器械产品注册的，国务院食品药品监督管理部门应当按照风险程度确定类别，对准予注册的医疗器械及时纳入分类目录。申请类别确认的，国务院食品药品监督管理部门应当自受理申请之日起20个工作日内对该医疗器械的类别进行判定并告知申请人。</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第十七条　第一类医疗器械产品备案，不需要进行临床试验。申请第二类、第三类医疗器械产品注册，应当进行临床试验；但是，有下列情形之一的，可以免于进行临床试验：</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lastRenderedPageBreak/>
        <w:t xml:space="preserve">　　（一）工作机理明确、设计定型，生产工艺成熟，已上市的同品种医疗器械临床应用多年且无严重不良事件记录，不改变常规用途的；</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（二）通过非临床评价能够证明该医疗器械安全、有效的；</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（三）通过对同品种医疗器械临床试验或者临床使用获得的数据进行分析评价，能够证明该医疗器械安全、有效的。</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免于进行临床试验的医疗器械目录由国务院食品药品监督管理部门制定、调整并公布。</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第十八条　开展医疗器械临床试验，应当按照医疗器械临床试验质量管理规范的要求，在具备相应条件的临床试验机构进行，并向临床试验提出者所在地省、自治区、直辖市人民政府食品药品监督管理部门备案。接受临床试验备案的食品药品监督管理部门应当将备案情况通报临床试验机构所在地的同级食品药品监督管理部门和卫生计生主管部门。</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医疗器械临床试验机构实行备案管理。医疗器械临床试验机构应当具备的条件及备案管理办法和临床试验质量管理规范，由国务院食品药品监督管理部门会同国务院卫生计生主管部门制定并公布。</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第十九条　第三类医疗器械进行临床试验对人体具有较高风险的，应当经国务院食品药品监督管理部门批准。临床试验对人体具有较高风险的第三类医疗器械目录由国务院食品药品监督管理部门制定、调整并公布。</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国务院食品药品监督管理部门审批临床试验，应当对拟承担医疗器械临床试验的机构的设备、专业人员等条件，该医疗器械的风险程度，临床试验实施方案，临床受益与风险对比分析报告等进行综合分析。准予开展临床试验的，应当通报临床试验提出者以及临床试验机构所在地省、自治区、直辖市人民政府食品药品监督管理部门和卫生计生主管部门。</w:t>
      </w:r>
    </w:p>
    <w:p w:rsidR="000044E2" w:rsidRPr="000044E2" w:rsidRDefault="000044E2" w:rsidP="000044E2">
      <w:pPr>
        <w:shd w:val="clear" w:color="auto" w:fill="FFFFFF"/>
        <w:adjustRightInd/>
        <w:snapToGrid/>
        <w:spacing w:after="0" w:line="450" w:lineRule="atLeast"/>
        <w:jc w:val="center"/>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第三章　医疗器械生产</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第二十条　从事医疗器械生产活动，应当具备下列条件：</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lastRenderedPageBreak/>
        <w:t xml:space="preserve">　　（一）有与生产的医疗器械相适应的生产场地、环境条件、生产设备以及专业技术人员；</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（二）有对生产的医疗器械进行质量检验的机构或者专职检验人员以及检验设备；</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（三）有保证医疗器械质量的管理制度；</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（四）有与生产的医疗器械相适应的售后服务能力；</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（五）产品研制、生产工艺文件规定的要求。</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第二十一条　从事第一类医疗器械生产的，由生产企业向所在地设区的市级人民政府食品药品监督管理部门备案并提交其符合本条例第二十条规定条件的证明资料。</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第二十二条　从事第二类、第三类医疗器械生产的，生产企业应当向所在地省、自治区、直辖市人民政府食品药品监督管理部门申请生产许可并提交其符合本条例第二十条规定条件的证明资料以及所生产医疗器械的注册证。</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受理生产许可申请的食品药品监督管理部门应当自受理之日起30个工作日内对申请资料进行审核，按照国务院食品药品监督管理部门制定的医疗器械生产质量管理规范的要求进行核查。对符合规定条件的，准予许可并发给医疗器械生产许可证；对不符合规定条件的，不予许可并书面说明理由。</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医疗器械生产许可证有效期为5年。有效期届满需要延续的，依照有关行政许可的法律规定办理延续手续。</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第二十三条　医疗器械生产质量管理规范应当对医疗器械的设计开发、生产设备条件、原材料采购、生产过程控制、企业的机构设置和人员配备等影响医疗器械安全、有效的事项作出明确规定。</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第二十四条　医疗器械生产企业应当按照医疗器械生产质量管理规范的要求，建立健全与所生产医疗器械相适应的质量管理体系并保证其有效运行；严格按照经注册或者备案的产品技术要求组织生产，保证出厂的医疗器械符合强制性标准以及经注册或者备案的产品技术要求。</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lastRenderedPageBreak/>
        <w:t xml:space="preserve">　　医疗器械生产企业应当定期对质量管理体系的运行情况进行自查，并向所在地省、自治区、直辖市人民政府食品药品监督管理部门提交自查报告。</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第二十五条　医疗器械生产企业的生产条件发生变化，不再符合医疗器械质量管理体系要求的，医疗器械生产企业应当立即采取整改措施；可能影响医疗器械安全、有效的，应当立即停止生产活动，并向所在地县级人民政府食品药品监督管理部门报告。</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第二十六条　医疗器械应当使用通用名称。通用名称应当符合国务院食品药品监督管理部门制定的医疗器械命名规则。</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第二十七条　医疗器械应当有说明书、标签。说明书、标签的内容应当与经注册或者备案的相关内容一致。</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医疗器械的说明书、标签应当标明下列事项：</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（一）通用名称、型号、规格；</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（二）生产企业的名称和住所、生产地址及联系方式；</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（三）产品技术要求的编号；</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（四）生产日期和使用期限或者失效日期；</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（五）产品性能、主要结构、适用范围；</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（六）禁忌症、注意事项以及其他需要警示或者提示的内容；</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（七）安装和使用说明或者图示；</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（八）维护和保养方法，特殊储存条件、方法；</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（九）产品技术要求规定应当标明的其他内容。</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第二类、第三类医疗器械还应当标明医疗器械注册证编号和医疗器械注册人的名称、地址及联系方式。</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由消费者个人自行使用的医疗器械还应当具有安全使用的特别说明。</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第二十八条　委托生产医疗器械，由委托方对所委托生产的医疗器械质量负责。受托方应当是符合本条例规定、具备相应生产条件的医疗器械生产企业。委托方应当加强对受托方生产行为的管理，保证其按照法定要求进行生产。</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lastRenderedPageBreak/>
        <w:t xml:space="preserve">　　具有高风险的植入性医疗器械不得委托生产，具体目录由国务院食品药品监督管理部门制定、调整并公布。</w:t>
      </w:r>
    </w:p>
    <w:p w:rsidR="000044E2" w:rsidRPr="000044E2" w:rsidRDefault="000044E2" w:rsidP="000044E2">
      <w:pPr>
        <w:shd w:val="clear" w:color="auto" w:fill="FFFFFF"/>
        <w:adjustRightInd/>
        <w:snapToGrid/>
        <w:spacing w:after="0" w:line="450" w:lineRule="atLeast"/>
        <w:jc w:val="center"/>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第四章　医疗器械经营与使用</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第二十九条　从事医疗器械经营活动，应当有与经营规模和经营范围相适应的经营场所和贮存条件，以及与经营的医疗器械相适应的质量管理制度和质量管理机构或者人员。</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第三十条　从事第二类医疗器械经营的，由经营企业向所在地设区的市级人民政府食品药品监督管理部门备案并提交其符合本条例第二十九条规定条件的证明资料。</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第三十一条　从事第三类医疗器械经营的，经营企业应当向所在地设区的市级人民政府食品药品监督管理部门申请经营许可并提交其符合本条例第二十九条规定条件的证明资料。</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受理经营许可申请的食品药品监督管理部门应当自受理之日起30个工作日内进行审查，必要时组织核查。对符合规定条件的，准予许可并发给医疗器械经营许可证；对不符合规定条件的，不予许可并书面说明理由。</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医疗器械经营许可证有效期为5年。有效期届满需要延续的，依照有关行政许可的法律规定办理延续手续。</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第三十二条　医疗器械经营企业、使用单位购进医疗器械，应当查验供货者的资质和医疗器械的合格证明文件，建立进货查验记录制度。从事第二类、第三类医疗器械批发业务以及第三类医疗器械零售业务的经营企业，还应当建立销售记录制度。</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记录事项包括：</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（一）医疗器械的名称、型号、规格、数量；</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（二）医疗器械的生产批号、有效期、销售日期；</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（三）生产企业的名称；</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（四）供货者或者购货者的名称、地址及联系方式；</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（五）相关许可证明文件编号等。</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lastRenderedPageBreak/>
        <w:t xml:space="preserve">　　进货查验记录和销售记录应当真实，并按照国务院食品药品监督管理部门规定的期限予以保存。国家鼓励采用先进技术手段进行记录。</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第三十三条　运输、贮存医疗器械，应当符合医疗器械说明书和标签标示的要求；对温度、湿度等环境条件有特殊要求的，应当采取相应措施，保证医疗器械的安全、有效。</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第三十四条　医疗器械使用单位应当有与在用医疗器械品种、数量相适应的贮存场所和条件。医疗器械使用单位应当加强对工作人员的技术培训，按照产品说明书、技术操作规范等要求使用医疗器械。</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医疗器械使用单位配置大型医用设备，应当符合国务院卫生计生主管部门制定的大型医用设备配置规划，与其功能定位、临床服务需求相适应，具有相应的技术条件、配套设施和具备相应资质、能力的专业技术人员，并经省级以上人民政府卫生计生主管部门批准，取得大型医用设备配置许可证。</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大型医用设备配置管理办法由国务院卫生计生主管部门会同国务院有关部门制定。大型医用设备目录由国务院卫生计生主管部门商国务院有关部门提出，报国务院批准后执行。</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第三十五条　医疗器械使用单位对重复使用的医疗器械，应当按照国务院卫生计生主管部门制定的消毒和管理的规定进行处理。</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一次性使用的医疗器械不得重复使用，对使用过的应当按照国家有关规定销毁并记录。</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第三十六条　医疗器械使用单位对需要定期检查、检验、校准、保养、维护的医疗器械，应当按照产品说明书的要求进行检查、检验、校准、保养、维护并予以记录，及时进行分析、评估，确保医疗器械处于良好状态，保障使用质量；对使用期限长的大型医疗器械，应当逐台建立使用档案，记录其使用、维护、转让、实际使用时间等事项。记录保存期限不得少于医疗器械规定使用期限终止后5年。</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lastRenderedPageBreak/>
        <w:t xml:space="preserve">　　第三十七条　医疗器械使用单位应当妥善保存购入第三类医疗器械的原始资料，并确保信息具有可追溯性。</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使用大型医疗器械以及植入和介入类医疗器械的，应当将医疗器械的名称、关键性技术参数等信息以及与使用质量安全密切相关的必要信息记载到病历等相关记录中。</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第三十八条　发现使用的医疗器械存在安全隐患的，医疗器械使用单位应当立即停止使用，并通知生产企业或者其他负责产品质量的机构进行检修；经检修仍不能达到使用安全标准的医疗器械，不得继续使用。</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第三十九条　食品药品监督管理部门和卫生计生主管部门依据各自职责，分别对使用环节的医疗器械质量和医疗器械使用行为进行监督管理。</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第四十条　医疗器械经营企业、使用单位不得经营、使用未依法注册、无合格证明文件以及过期、失效、淘汰的医疗器械。</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第四十一条　医疗器械使用单位之间转让在用医疗器械，转让方应当确保所转让的医疗器械安全、有效，不得转让过期、失效、淘汰以及检验不合格的医疗器械。</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第四十二条　进口的医疗器械应当是依照本条例第二章的规定已注册或者已备案的医疗器械。</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进口的医疗器械应当有中文说明书、中文标签。说明书、标签应当符合本条例规定以及相关强制性标准的要求，并在说明书中载明医疗器械的原产地以及代理人的名称、地址、联系方式。没有中文说明书、中文标签或者说明书、标签不符合本条规定的，不得进口。</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第四十三条　出入境检验检疫机构依法对进口的医疗器械实施检验；检验不合格的，不得进口。</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国务院食品药品监督管理部门应当及时向国家出入境检验检疫部门通报进口医疗器械的注册和备案情况。进口口岸所在地出入境检验检疫机构应当及时向所在地设区的市级人民政府食品药品监督管理部门通报进口医疗器械的通关情况。</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lastRenderedPageBreak/>
        <w:t xml:space="preserve">　　第四十四条　出口医疗器械的企业应当保证其出口的医疗器械符合进口国（地区）的要求。</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第四十五条　医疗器械广告应当真实合法，不得含有虚假、夸大、误导性的内容。</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医疗器械广告应当经医疗器械生产企业或者进口医疗器械代理人所在地省、自治区、直辖市人民政府食品药品监督管理部门审查批准，并取得医疗器械广告批准文件。广告发布者发布医疗器械广告，应当事先核查广告的批准文件及其真实性；不得发布未取得批准文件、批准文件的真实性未经核实或者广告内容与批准文件不一致的医疗器械广告。省、自治区、直辖市人民政府食品药品监督管理部门应当公布并及时更新已经批准的医疗器械广告目录以及批准的广告内容。</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省级以上人民政府食品药品监督管理部门责令暂停生产、销售、进口和使用的医疗器械，在暂停期间不得发布涉及该医疗器械的广告。</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医疗器械广告的审查办法由国务院食品药品监督管理部门会同国务院工商行政管理部门制定。</w:t>
      </w:r>
    </w:p>
    <w:p w:rsidR="000044E2" w:rsidRPr="000044E2" w:rsidRDefault="000044E2" w:rsidP="000044E2">
      <w:pPr>
        <w:shd w:val="clear" w:color="auto" w:fill="FFFFFF"/>
        <w:adjustRightInd/>
        <w:snapToGrid/>
        <w:spacing w:after="0" w:line="450" w:lineRule="atLeast"/>
        <w:jc w:val="center"/>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第五章　不良事件的处理与医疗器械的召回</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第四十六条　国家建立医疗器械不良事件监测制度，对医疗器械不良事件及时进行收集、分析、评价、控制。</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第四十七条　医疗器械生产经营企业、使用单位应当对所生产经营或者使用的医疗器械开展不良事件监测；发现医疗器械不良事件或者可疑不良事件，应当按照国务院食品药品监督管理部门的规定，向医疗器械不良事件监测技术机构报告。</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任何单位和个人发现医疗器械不良事件或者可疑不良事件，有权向食品药品监督管理部门或者医疗器械不良事件监测技术机构报告。</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第四十八条　国务院食品药品监督管理部门应当加强医疗器械不良事件监测信息网络建设。</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lastRenderedPageBreak/>
        <w:t xml:space="preserve">　　医疗器械不良事件监测技术机构应当加强医疗器械不良事件信息监测，主动收集不良事件信息；发现不良事件或者接到不良事件报告的，应当及时进行核实、调查、分析，对不良事件进行评估，并向食品药品监督管理部门和卫生计生主管部门提出处理建议。</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医疗器械不良事件监测技术机构应当公布联系方式，方便医疗器械生产经营企业、使用单位等报告医疗器械不良事件。</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第四十九条　食品药品监督管理部门应当根据医疗器械不良事件评估结果及时采取发布警示信息以及责令暂停生产、销售、进口和使用等控制措施。</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省级以上人民政府食品药品监督管理部门应当会同同级卫生计生主管部门和相关部门组织对引起突发、群发的严重伤害或者死亡的医疗器械不良事件及时进行调查和处理，并组织对同类医疗器械加强监测。</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第五十条　医疗器械生产经营企业、使用单位应当对医疗器械不良事件监测技术机构、食品药品监督管理部门开展的医疗器械不良事件调查予以配合。</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第五十一条　有下列情形之一的，省级以上人民政府食品药品监督管理部门应当对已注册的医疗器械组织开展再评价：</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（一）根据科学研究的发展，对医疗器械的安全、有效有认识上的改变的；</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（二）医疗器械不良事件监测、评估结果表明医疗器械可能存在缺陷的；</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（三）国务院食品药品监督管理部门规定的其他需要进行再评价的情形。</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再评价结果表明已注册的医疗器械不能保证安全、有效的，由原发证部门注销医疗器械注册证，并向社会公布。被注销医疗器械注册证的医疗器械不得生产、进口、经营、使用。</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第五十二条　医疗器械生产企业发现其生产的医疗器械不符合强制性标准、经注册或者备案的产品技术要求或者存在其他缺陷的，应当立即停止生产，通知相关生产经营企业、使用单位和消费者停</w:t>
      </w:r>
      <w:r w:rsidRPr="000044E2">
        <w:rPr>
          <w:rFonts w:ascii="微软雅黑" w:hAnsi="微软雅黑" w:cs="Helvetica" w:hint="eastAsia"/>
          <w:color w:val="606060"/>
          <w:spacing w:val="8"/>
          <w:sz w:val="27"/>
          <w:szCs w:val="27"/>
        </w:rPr>
        <w:lastRenderedPageBreak/>
        <w:t>止经营和使用，召回已经上市销售的医疗器械，采取补救、销毁等措施，记录相关情况，发布相关信息，并将医疗器械召回和处理情况向食品药品监督管理部门和卫生计生主管部门报告。</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医疗器械经营企业发现其经营的医疗器械存在前款规定情形的，应当立即停止经营，通知相关生产经营企业、使用单位、消费者，并记录停止经营和通知情况。医疗器械生产企业认为属于依照前款规定需要召回的医疗器械，应当立即召回。</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医疗器械生产经营企业未依照本条规定实施召回或者停止经营的，食品药品监督管理部门可以责令其召回或者停止经营。</w:t>
      </w:r>
    </w:p>
    <w:p w:rsidR="000044E2" w:rsidRPr="000044E2" w:rsidRDefault="000044E2" w:rsidP="000044E2">
      <w:pPr>
        <w:shd w:val="clear" w:color="auto" w:fill="FFFFFF"/>
        <w:adjustRightInd/>
        <w:snapToGrid/>
        <w:spacing w:after="0" w:line="450" w:lineRule="atLeast"/>
        <w:jc w:val="center"/>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第六章　监督检查</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第五十三条　食品药品监督管理部门应当对医疗器械的注册、备案、生产、经营、使用活动加强监督检查，并对下列事项进行重点监督检查：</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（一）医疗器械生产企业是否按照经注册或者备案的产品技术要求组织生产；</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（二）医疗器械生产企业的质量管理体系是否保持有效运行；</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（三）医疗器械生产经营企业的生产经营条件是否持续符合法定要求。</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第五十四条　食品药品监督管理部门在监督检查中有下列职权：</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（一）进入现场实施检查、抽取样品；</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（二）查阅、复制、查封、扣押有关合同、票据、账簿以及其他有关资料；</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（三）查封、扣押不符合法定要求的医疗器械，违法使用的零配件、原材料以及用于违法生产医疗器械的工具、设备；</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（四）查封违反本条例规定从事医疗器械生产经营活动的场所。</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食品药品监督管理部门进行监督检查，应当出示执法证件，保守被检查单位的商业秘密。</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有关单位和个人应当对食品药品监督管理部门的监督检查予以配合，不得隐瞒有关情况。</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lastRenderedPageBreak/>
        <w:t xml:space="preserve">　　第五十五条　对人体造成伤害或者有证据证明可能危害人体健康的医疗器械，食品药品监督管理部门可以采取暂停生产、进口、经营、使用的紧急控制措施。</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第五十六条　食品药品监督管理部门应当加强对医疗器械生产经营企业和使用单位生产、经营、使用的医疗器械的抽查检验。抽查检验不得收取检验费和其他任何费用，所需费用纳入本级政府预算。省级以上人民政府食品药品监督管理部门应当根据抽查检验结论及时发布医疗器械质量公告。</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卫生计生主管部门应当对大型医用设备的使用状况进行监督和评估；发现违规使用以及与大型医用设备相关的过度检查、过度治疗等情形的，应当立即纠正，依法予以处理。</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第五十七条　医疗器械检验机构资质认定工作按照国家有关规定实行统一管理。经国务院认证认可监督管理部门会同国务院食品药品监督管理部门认定的检验机构，方可对医疗器械实施检验。</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食品药品监督管理部门在执法工作中需要对医疗器械进行检验的，应当委托有资质的医疗器械检验机构进行，并支付相关费用。</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当事人对检验结论有异议的，可以自收到检验结论之日起7个工作日内选择有资质的医疗器械检验机构进行复检。承担复检工作的医疗器械检验机构应当在国务院食品药品监督管理部门规定的时间内作出复检结论。复检结论为最终检验结论。</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第五十八条　对可能存在有害物质或者擅自改变医疗器械设计、原材料和生产工艺并存在安全隐患的医疗器械，按照医疗器械国家标准、行业标准规定的检验项目和检验方法无法检验的，医疗器械检验机构可以补充检验项目和检验方法进行检验；使用补充检验项目、检验方法得出的检验结论，经国务院食品药品监督管理部门批准，可以作为食品药品监督管理部门认定医疗器械质量的依据。</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第五十九条　设区的市级和县级人民政府食品药品监督管理部门应当加强对医疗器械广告的监督检查；发现未经批准、篡改经批准的广告内容的医疗器械广告，应当向所在地省、自治区、直辖市人民政府食品药品监督管理部门报告，由其向社会公告。</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lastRenderedPageBreak/>
        <w:t xml:space="preserve">　　工商行政管理部门应当依照有关广告管理的法律、行政法规的规定，对医疗器械广告进行监督检查，查处违法行为。食品药品监督管理部门发现医疗器械广告违法发布行为，应当提出处理建议并按照有关程序移交所在地同级工商行政管理部门。</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第六十条　国务院食品药品监督管理部门建立统一的医疗器械监督管理信息平台。食品药品监督管理部门应当通过信息平台依法及时公布医疗器械许可、备案、抽查检验、违法行为查处情况等日常监督管理信息。但是，不得泄露当事人的商业秘密。</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食品药品监督管理部门对医疗器械注册人和备案人、生产经营企业、使用单位建立信用档案，对有不良信用记录的增加监督检查频次。</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第六十一条　食品药品监督管理等部门应当公布本单位的联系方式，接受咨询、投诉、举报。食品药品监督管理等部门接到与医疗器械监督管理有关的咨询，应当及时答复；接到投诉、举报，应当及时核实、处理、答复。对咨询、投诉、举报情况及其答复、核实、处理情况，应当予以记录、保存。</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有关医疗器械研制、生产、经营、使用行为的举报经调查属实的，食品药品监督管理等部门对举报人应当给予奖励。</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第六十二条　国务院食品药品监督管理部门制定、调整、修改本条例规定的目录以及与医疗器械监督管理有关的规范，应当公开征求意见；采取听证会、论证会等形式，听取专家、医疗器械生产经营企业和使用单位、消费者以及相关组织等方面的意见。</w:t>
      </w:r>
    </w:p>
    <w:p w:rsidR="000044E2" w:rsidRPr="000044E2" w:rsidRDefault="000044E2" w:rsidP="000044E2">
      <w:pPr>
        <w:shd w:val="clear" w:color="auto" w:fill="FFFFFF"/>
        <w:adjustRightInd/>
        <w:snapToGrid/>
        <w:spacing w:after="0" w:line="450" w:lineRule="atLeast"/>
        <w:jc w:val="center"/>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第七章　法律责任</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第六十三条　有下列情形之一的，由县级以上人民政府食品药品监督管理部门没收违法所得、违法生产经营的医疗器械和用于违法生产经营的工具、设备、原材料等物品；违法生产经营的医疗器械货值金额不足1万元的，并处5万元以上10万元以下罚款；货值金额1万元以上的，并处货值金额10倍以上20倍以下罚款；情节严重的，5年内不受理相关责任人及企业提出的医疗器械许可申请：</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lastRenderedPageBreak/>
        <w:t xml:space="preserve">　　（一）生产、经营未取得医疗器械注册证的第二类、第三类医疗器械的；</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（二）未经许可从事第二类、第三类医疗器械生产活动的；</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（三）未经许可从事第三类医疗器械经营活动的。</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有前款第一项情形、情节严重的，由原发证部门吊销医疗器械生产许可证或者医疗器械经营许可证。</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未经许可擅自配置使用大型医用设备的，由县级以上人民政府卫生计生主管部门责令停止使用，给予警告，没收违法所得；违法所得不足1万元的，并处1万元以上5万元以下罚款；违法所得1万元以上的，并处违法所得5倍以上10倍以下罚款；情节严重的，5年内不受理相关责任人及单位提出的大型医用设备配置许可申请。</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第六十四条　提供虚假资料或者采取其他欺骗手段取得医疗器械注册证、医疗器械生产许可证、医疗器械经营许可证、大型医用设备配置许可证、广告批准文件等许可证件的，由原发证部门撤销已经取得的许可证件，并处5万元以上10万元以下罚款，5年内不受理相关责任人及单位提出的医疗器械许可申请。</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伪造、变造、买卖、出租、出借相关医疗器械许可证件的，由原发证部门予以收缴或者吊销，没收违法所得；违法所得不足1万元的，处1万元以上3万元以下罚款；违法所得1万元以上的，处违法所得3倍以上5倍以下罚款；构成违反治安管理行为的，由公安机关依法予以治安管理处罚。</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第六十五条　未依照本条例规定备案的，由县级以上人民政府食品药品监督管理部门责令限期改正；逾期不改正的，向社会公告未备案单位和产品名称，可以处1万元以下罚款。</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备案时提供虚假资料的，由县级以上人民政府食品药品监督管理部门向社会公告备案单位和产品名称；情节严重的，直接责任人员5年内不得从事医疗器械生产经营活动。</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第六十六条　有下列情形之一的，由县级以上人民政府食品药品监督管理部门责令改正，没收违法生产、经营或者使用的医疗器械；违法生产、经营或者使用的医疗器械货值金额不足1万元的，</w:t>
      </w:r>
      <w:r w:rsidRPr="000044E2">
        <w:rPr>
          <w:rFonts w:ascii="微软雅黑" w:hAnsi="微软雅黑" w:cs="Helvetica" w:hint="eastAsia"/>
          <w:color w:val="606060"/>
          <w:spacing w:val="8"/>
          <w:sz w:val="27"/>
          <w:szCs w:val="27"/>
        </w:rPr>
        <w:lastRenderedPageBreak/>
        <w:t>并处2万元以上5万元以下罚款；货值金额1万元以上的，并处货值金额5倍以上10倍以下罚款；情节严重的，责令停产停业，直至由原发证部门吊销医疗器械注册证、医疗器械生产许可证、医疗器械经营许可证：</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（一）生产、经营、使用不符合强制性标准或者不符合经注册或者备案的产品技术要求的医疗器械的；</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（二）医疗器械生产企业未按照经注册或者备案的产品技术要求组织生产，或者未依照本条例规定建立质量管理体系并保持有效运行的；</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（三）经营、使用无合格证明文件、过期、失效、淘汰的医疗器械，或者使用未依法注册的医疗器械的；</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（四）食品药品监督管理部门责令其依照本条例规定实施召回或者停止经营后，仍拒不召回或者停止经营医疗器械的；</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（五）委托不具备本条例规定条件的企业生产医疗器械，或者未对受托方的生产行为进行管理的。</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医疗器械经营企业、使用单位履行了本条例规定的进货查验等义务，有充分证据证明其不知道所经营、使用的医疗器械为前款第一项、第三项规定情形的医疗器械，并能如实说明其进货来源的，可以免予处罚，但应当依法没收其经营、使用的不符合法定要求的医疗器械。</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第六十七条　有下列情形之一的，由县级以上人民政府食品药品监督管理部门责令改正，处1万元以上3万元以下罚款；情节严重的，责令停产停业，直至由原发证部门吊销医疗器械生产许可证、医疗器械经营许可证：</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（一）医疗器械生产企业的生产条件发生变化、不再符合医疗器械质量管理体系要求，未依照本条例规定整改、停止生产、报告的；</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（二）生产、经营说明书、标签不符合本条例规定的医疗器械的；</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lastRenderedPageBreak/>
        <w:t xml:space="preserve">　　（三）未按照医疗器械说明书和标签标示要求运输、贮存医疗器械的；</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（四）转让过期、失效、淘汰或者检验不合格的在用医疗器械的。</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第六十八条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（一）医疗器械生产企业未按照要求提交质量管理体系自查报告的；</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（二）医疗器械经营企业、使用单位未依照本条例规定建立并执行医疗器械进货查验记录制度的；</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（三）从事第二类、第三类医疗器械批发业务以及第三类医疗器械零售业务的经营企业未依照本条例规定建立并执行销售记录制度的；</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（四）对重复使用的医疗器械，医疗器械使用单位未按照消毒和管理的规定进行处理的；</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（五）医疗器械使用单位重复使用一次性使用的医疗器械，或者未按照规定销毁使用过的一次性使用的医疗器械的；</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（六）对需要定期检查、检验、校准、保养、维护的医疗器械，医疗器械使用单位未按照产品说明书要求检查、检验、校准、保养、维护并予以记录，及时进行分析、评估，确保医疗器械处于良好状态的；</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（七）医疗器械使用单位未妥善保存购入第三类医疗器械的原始资料，或者未按照规定将大型医疗器械以及植入和介入类医疗器械的信息记载到病历等相关记录中的；</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（八）医疗器械使用单位发现使用的医疗器械存在安全隐患未立即停止使用、通知检修，或者继续使用经检修仍不能达到使用安全标准的医疗器械的；</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lastRenderedPageBreak/>
        <w:t xml:space="preserve">　　（九）医疗器械使用单位违规使用大型医用设备，不能保障医疗质量安全的；</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十）医疗器械生产经营企业、使用单位未依照本条例规定开展医疗器械不良事件监测，未按照要求报告不良事件，或者对医疗器械不良事件监测技术机构、食品药品监督管理部门开展的不良事件调查不予配合的。</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第六十九条　违反本条例规定开展医疗器械临床试验的，由县级以上人民政府食品药品监督管理部门责令改正或者立即停止临床试验，可以处5万元以下罚款；造成严重后果的，依法对直接负责的主管人员和其他直接责任人员给予降级、撤职或者开除的处分；该机构5年内不得开展相关专业医疗器械临床试验。</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医疗器械临床试验机构出具虚假报告的，由县级以上人民政府食品药品监督管理部门处5万元以上10万元以下罚款；有违法所得的，没收违法所得；对直接负责的主管人员和其他直接责任人员，依法给予撤职或者开除的处分；该机构10年内不得开展相关专业医疗器械临床试验。</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第七十条　医疗器械检验机构出具虚假检验报告的，由授予其资质的主管部门撤销检验资质，10年内不受理其资质认定申请；处5万元以上10万元以下罚款；有违法所得的，没收违法所得；对直接负责的主管人员和其他直接责任人员，依法给予撤职或者开除的处分；受到开除处分的，自处分决定作出之日起10年内不得从事医疗器械检验工作。</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第七十一条　违反本条例规定，发布未取得批准文件的医疗器械广告，未事先核实批准文件的真实性即发布医疗器械广告，或者发布广告内容与批准文件不一致的医疗器械广告的，由工商行政管理部门依照有关广告管理的法律、行政法规的规定给予处罚。</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篡改经批准的医疗器械广告内容的，由原发证部门撤销该医疗器械的广告批准文件，2年内不受理其广告审批申请。</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发布虚假医疗器械广告的，由省级以上人民政府食品药品监督管理部门决定暂停销售该医疗器械，并向社会公布；仍然销售该医</w:t>
      </w:r>
      <w:r w:rsidRPr="000044E2">
        <w:rPr>
          <w:rFonts w:ascii="微软雅黑" w:hAnsi="微软雅黑" w:cs="Helvetica" w:hint="eastAsia"/>
          <w:color w:val="606060"/>
          <w:spacing w:val="8"/>
          <w:sz w:val="27"/>
          <w:szCs w:val="27"/>
        </w:rPr>
        <w:lastRenderedPageBreak/>
        <w:t>疗器械的，由县级以上人民政府食品药品监督管理部门没收违法销售的医疗器械，并处2万元以上5万元以下罚款。</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第七十二条　医疗器械技术审评机构、医疗器械不良事件监测技术机构未依照本条例规定履行职责，致使审评、监测工作出现重大失误的，由县级以上人民政府食品药品监督管理部门责令改正，通报批评，给予警告；造成严重后果的，对直接负责的主管人员和其他直接责任人员，依法给予降级、撤职或者开除的处分。</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第七十三条　食品药品监督管理部门、卫生计生主管部门及其工作人员应当严格依照本条例规定的处罚种类和幅度，根据违法行为的性质和具体情节行使行政处罚权，具体办法由国务院食品药品监督管理部门、卫生计生主管部门依据各自职责制定。</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第七十四条　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第七十五条　违反本条例规定，构成犯罪的，依法追究刑事责任；造成人身、财产或者其他损害的，依法承担赔偿责任。</w:t>
      </w:r>
    </w:p>
    <w:p w:rsidR="000044E2" w:rsidRPr="000044E2" w:rsidRDefault="000044E2" w:rsidP="000044E2">
      <w:pPr>
        <w:shd w:val="clear" w:color="auto" w:fill="FFFFFF"/>
        <w:adjustRightInd/>
        <w:snapToGrid/>
        <w:spacing w:after="0" w:line="450" w:lineRule="atLeast"/>
        <w:jc w:val="center"/>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第八章　附　　则</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第七十六条　本条例下列用语的含义：</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医疗器械，是指直接或者间接用于人体的仪器、设备、器具、体外诊断试剂及校准物、材料以及其他类似或者相关的物品，包括所需要的计算机软件；其效用主要通过物理等方式获得，不是通过药理学、免疫学或者代谢的方式获得，或者虽然有这些方式参与但是只起辅助作用；其目的是：</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（一）疾病的诊断、预防、监护、治疗或者缓解；</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（二）损伤的诊断、监护、治疗、缓解或者功能补偿；</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（三）生理结构或者生理过程的检验、替代、调节或者支持；</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（四）生命的支持或者维持；</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（五）妊娠控制；</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lastRenderedPageBreak/>
        <w:t xml:space="preserve">　　（六）通过对来自人体的样本进行检查，为医疗或者诊断目的提供信息。</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医疗器械使用单位，是指使用医疗器械为他人提供医疗等技术服务的机构，包括取得医疗机构执业许可证的医疗机构，取得计划生育技术服务机构执业许可证的计划生育技术服务机构，以及依法不需要取得医疗机构执业许可证的血站、单采血浆站、康复辅助器具适配机构等。</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大型医用设备，是指使用技术复杂、资金投入量大、运行成本高、对医疗费用影响大且纳入目录管理的大型医疗器械。</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第七十七条　医疗器械产品注册可以收取费用。具体收费项目、标准分别由国务院财政、价格主管部门按照国家有关规定制定。</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第七十八条　非营利的避孕医疗器械管理办法以及医疗卫生机构为应对突发公共卫生事件而研制的医疗器械的管理办法，由国务院食品药品监督管理部门会同国务院卫生计生主管部门制定。</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中医医疗器械的管理办法，由国务院食品药品监督管理部门会同国务院中医药管理部门依据本条例的规定制定；康复辅助器具类医疗器械的范围及其管理办法，由国务院食品药品监督管理部门会同国务院民政部门依据本条例的规定制定。</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第七十九条　军队医疗器械使用的监督管理，由军队卫生主管部门依据本条例和军队有关规定组织实施。</w:t>
      </w:r>
    </w:p>
    <w:p w:rsidR="000044E2" w:rsidRPr="000044E2" w:rsidRDefault="000044E2" w:rsidP="000044E2">
      <w:pPr>
        <w:shd w:val="clear" w:color="auto" w:fill="FFFFFF"/>
        <w:adjustRightInd/>
        <w:snapToGrid/>
        <w:spacing w:after="0" w:line="450" w:lineRule="atLeast"/>
        <w:jc w:val="both"/>
        <w:rPr>
          <w:rFonts w:ascii="微软雅黑" w:hAnsi="微软雅黑" w:cs="Helvetica"/>
          <w:color w:val="606060"/>
          <w:spacing w:val="8"/>
          <w:sz w:val="27"/>
          <w:szCs w:val="27"/>
        </w:rPr>
      </w:pPr>
      <w:r w:rsidRPr="000044E2">
        <w:rPr>
          <w:rFonts w:ascii="微软雅黑" w:hAnsi="微软雅黑" w:cs="Helvetica" w:hint="eastAsia"/>
          <w:color w:val="606060"/>
          <w:spacing w:val="8"/>
          <w:sz w:val="27"/>
          <w:szCs w:val="27"/>
        </w:rPr>
        <w:t xml:space="preserve">　　第八十条　本条例自2014年6月1日起施行。</w:t>
      </w:r>
    </w:p>
    <w:p w:rsidR="000044E2" w:rsidRPr="000044E2" w:rsidRDefault="00141BB0" w:rsidP="000044E2">
      <w:pPr>
        <w:shd w:val="clear" w:color="auto" w:fill="FFFFFF"/>
        <w:adjustRightInd/>
        <w:snapToGrid/>
        <w:spacing w:after="0"/>
        <w:rPr>
          <w:rFonts w:ascii="Helvetica" w:eastAsia="宋体" w:hAnsi="Helvetica" w:cs="Helvetica"/>
          <w:color w:val="3E3E3E"/>
          <w:sz w:val="24"/>
          <w:szCs w:val="24"/>
        </w:rPr>
      </w:pPr>
      <w:r w:rsidRPr="00141BB0">
        <w:rPr>
          <w:rFonts w:ascii="Helvetica" w:eastAsia="宋体" w:hAnsi="Helvetica" w:cs="Helvetica"/>
          <w:color w:val="3E3E3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0044E2" w:rsidRPr="000044E2" w:rsidRDefault="000044E2" w:rsidP="000044E2">
      <w:pPr>
        <w:shd w:val="clear" w:color="auto" w:fill="FFFFFF"/>
        <w:adjustRightInd/>
        <w:snapToGrid/>
        <w:spacing w:after="0"/>
        <w:rPr>
          <w:rFonts w:ascii="Helvetica" w:eastAsia="宋体" w:hAnsi="Helvetica" w:cs="Helvetica"/>
          <w:color w:val="3E3E3E"/>
          <w:sz w:val="24"/>
          <w:szCs w:val="24"/>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55C" w:rsidRDefault="00B3155C" w:rsidP="00C64842">
      <w:pPr>
        <w:spacing w:after="0"/>
      </w:pPr>
      <w:r>
        <w:separator/>
      </w:r>
    </w:p>
  </w:endnote>
  <w:endnote w:type="continuationSeparator" w:id="0">
    <w:p w:rsidR="00B3155C" w:rsidRDefault="00B3155C" w:rsidP="00C648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55C" w:rsidRDefault="00B3155C" w:rsidP="00C64842">
      <w:pPr>
        <w:spacing w:after="0"/>
      </w:pPr>
      <w:r>
        <w:separator/>
      </w:r>
    </w:p>
  </w:footnote>
  <w:footnote w:type="continuationSeparator" w:id="0">
    <w:p w:rsidR="00B3155C" w:rsidRDefault="00B3155C" w:rsidP="00C6484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0242"/>
  </w:hdrShapeDefaults>
  <w:footnotePr>
    <w:footnote w:id="-1"/>
    <w:footnote w:id="0"/>
  </w:footnotePr>
  <w:endnotePr>
    <w:endnote w:id="-1"/>
    <w:endnote w:id="0"/>
  </w:endnotePr>
  <w:compat>
    <w:useFELayout/>
  </w:compat>
  <w:rsids>
    <w:rsidRoot w:val="00D31D50"/>
    <w:rsid w:val="000044E2"/>
    <w:rsid w:val="00141BB0"/>
    <w:rsid w:val="00323B43"/>
    <w:rsid w:val="003D37D8"/>
    <w:rsid w:val="00426133"/>
    <w:rsid w:val="004358AB"/>
    <w:rsid w:val="008B7726"/>
    <w:rsid w:val="008C4CE7"/>
    <w:rsid w:val="00995D8E"/>
    <w:rsid w:val="00B3155C"/>
    <w:rsid w:val="00BC3BBE"/>
    <w:rsid w:val="00C64842"/>
    <w:rsid w:val="00D31D50"/>
    <w:rsid w:val="00FE75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0044E2"/>
    <w:pPr>
      <w:adjustRightInd/>
      <w:snapToGrid/>
      <w:spacing w:before="100" w:beforeAutospacing="1" w:after="100" w:afterAutospacing="1"/>
      <w:outlineLvl w:val="0"/>
    </w:pPr>
    <w:rPr>
      <w:rFonts w:ascii="宋体" w:eastAsia="宋体" w:hAnsi="宋体" w:cs="宋体"/>
      <w:b/>
      <w:bCs/>
      <w:kern w:val="36"/>
      <w:sz w:val="48"/>
      <w:szCs w:val="48"/>
    </w:rPr>
  </w:style>
  <w:style w:type="paragraph" w:styleId="2">
    <w:name w:val="heading 2"/>
    <w:basedOn w:val="a"/>
    <w:link w:val="2Char"/>
    <w:uiPriority w:val="9"/>
    <w:qFormat/>
    <w:rsid w:val="000044E2"/>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044E2"/>
    <w:rPr>
      <w:rFonts w:ascii="宋体" w:eastAsia="宋体" w:hAnsi="宋体" w:cs="宋体"/>
      <w:b/>
      <w:bCs/>
      <w:kern w:val="36"/>
      <w:sz w:val="48"/>
      <w:szCs w:val="48"/>
    </w:rPr>
  </w:style>
  <w:style w:type="character" w:customStyle="1" w:styleId="2Char">
    <w:name w:val="标题 2 Char"/>
    <w:basedOn w:val="a0"/>
    <w:link w:val="2"/>
    <w:uiPriority w:val="9"/>
    <w:rsid w:val="000044E2"/>
    <w:rPr>
      <w:rFonts w:ascii="宋体" w:eastAsia="宋体" w:hAnsi="宋体" w:cs="宋体"/>
      <w:b/>
      <w:bCs/>
      <w:sz w:val="36"/>
      <w:szCs w:val="36"/>
    </w:rPr>
  </w:style>
  <w:style w:type="character" w:styleId="a3">
    <w:name w:val="Emphasis"/>
    <w:basedOn w:val="a0"/>
    <w:uiPriority w:val="20"/>
    <w:qFormat/>
    <w:rsid w:val="000044E2"/>
    <w:rPr>
      <w:i/>
      <w:iCs/>
    </w:rPr>
  </w:style>
  <w:style w:type="character" w:customStyle="1" w:styleId="apple-converted-space">
    <w:name w:val="apple-converted-space"/>
    <w:basedOn w:val="a0"/>
    <w:rsid w:val="000044E2"/>
  </w:style>
  <w:style w:type="character" w:styleId="a4">
    <w:name w:val="Hyperlink"/>
    <w:basedOn w:val="a0"/>
    <w:uiPriority w:val="99"/>
    <w:semiHidden/>
    <w:unhideWhenUsed/>
    <w:rsid w:val="000044E2"/>
    <w:rPr>
      <w:color w:val="0000FF"/>
      <w:u w:val="single"/>
    </w:rPr>
  </w:style>
  <w:style w:type="paragraph" w:styleId="a5">
    <w:name w:val="Normal (Web)"/>
    <w:basedOn w:val="a"/>
    <w:uiPriority w:val="99"/>
    <w:semiHidden/>
    <w:unhideWhenUsed/>
    <w:rsid w:val="000044E2"/>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0044E2"/>
    <w:rPr>
      <w:b/>
      <w:bCs/>
    </w:rPr>
  </w:style>
  <w:style w:type="character" w:customStyle="1" w:styleId="praisenum">
    <w:name w:val="praise_num"/>
    <w:basedOn w:val="a0"/>
    <w:rsid w:val="000044E2"/>
  </w:style>
  <w:style w:type="paragraph" w:customStyle="1" w:styleId="discussicontips">
    <w:name w:val="discuss_icon_tips"/>
    <w:basedOn w:val="a"/>
    <w:rsid w:val="000044E2"/>
    <w:pPr>
      <w:adjustRightInd/>
      <w:snapToGrid/>
      <w:spacing w:before="100" w:beforeAutospacing="1" w:after="100" w:afterAutospacing="1"/>
    </w:pPr>
    <w:rPr>
      <w:rFonts w:ascii="宋体" w:eastAsia="宋体" w:hAnsi="宋体" w:cs="宋体"/>
      <w:sz w:val="24"/>
      <w:szCs w:val="24"/>
    </w:rPr>
  </w:style>
  <w:style w:type="paragraph" w:styleId="a7">
    <w:name w:val="Balloon Text"/>
    <w:basedOn w:val="a"/>
    <w:link w:val="Char"/>
    <w:uiPriority w:val="99"/>
    <w:semiHidden/>
    <w:unhideWhenUsed/>
    <w:rsid w:val="000044E2"/>
    <w:pPr>
      <w:spacing w:after="0"/>
    </w:pPr>
    <w:rPr>
      <w:sz w:val="18"/>
      <w:szCs w:val="18"/>
    </w:rPr>
  </w:style>
  <w:style w:type="character" w:customStyle="1" w:styleId="Char">
    <w:name w:val="批注框文本 Char"/>
    <w:basedOn w:val="a0"/>
    <w:link w:val="a7"/>
    <w:uiPriority w:val="99"/>
    <w:semiHidden/>
    <w:rsid w:val="000044E2"/>
    <w:rPr>
      <w:rFonts w:ascii="Tahoma" w:hAnsi="Tahoma"/>
      <w:sz w:val="18"/>
      <w:szCs w:val="18"/>
    </w:rPr>
  </w:style>
  <w:style w:type="paragraph" w:styleId="a8">
    <w:name w:val="header"/>
    <w:basedOn w:val="a"/>
    <w:link w:val="Char0"/>
    <w:uiPriority w:val="99"/>
    <w:semiHidden/>
    <w:unhideWhenUsed/>
    <w:rsid w:val="00C64842"/>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8"/>
    <w:uiPriority w:val="99"/>
    <w:semiHidden/>
    <w:rsid w:val="00C64842"/>
    <w:rPr>
      <w:rFonts w:ascii="Tahoma" w:hAnsi="Tahoma"/>
      <w:sz w:val="18"/>
      <w:szCs w:val="18"/>
    </w:rPr>
  </w:style>
  <w:style w:type="paragraph" w:styleId="a9">
    <w:name w:val="footer"/>
    <w:basedOn w:val="a"/>
    <w:link w:val="Char1"/>
    <w:uiPriority w:val="99"/>
    <w:semiHidden/>
    <w:unhideWhenUsed/>
    <w:rsid w:val="00C64842"/>
    <w:pPr>
      <w:tabs>
        <w:tab w:val="center" w:pos="4153"/>
        <w:tab w:val="right" w:pos="8306"/>
      </w:tabs>
    </w:pPr>
    <w:rPr>
      <w:sz w:val="18"/>
      <w:szCs w:val="18"/>
    </w:rPr>
  </w:style>
  <w:style w:type="character" w:customStyle="1" w:styleId="Char1">
    <w:name w:val="页脚 Char"/>
    <w:basedOn w:val="a0"/>
    <w:link w:val="a9"/>
    <w:uiPriority w:val="99"/>
    <w:semiHidden/>
    <w:rsid w:val="00C6484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645155339">
      <w:bodyDiv w:val="1"/>
      <w:marLeft w:val="0"/>
      <w:marRight w:val="0"/>
      <w:marTop w:val="0"/>
      <w:marBottom w:val="0"/>
      <w:divBdr>
        <w:top w:val="none" w:sz="0" w:space="0" w:color="auto"/>
        <w:left w:val="none" w:sz="0" w:space="0" w:color="auto"/>
        <w:bottom w:val="none" w:sz="0" w:space="0" w:color="auto"/>
        <w:right w:val="none" w:sz="0" w:space="0" w:color="auto"/>
      </w:divBdr>
      <w:divsChild>
        <w:div w:id="1407997109">
          <w:marLeft w:val="0"/>
          <w:marRight w:val="0"/>
          <w:marTop w:val="0"/>
          <w:marBottom w:val="0"/>
          <w:divBdr>
            <w:top w:val="none" w:sz="0" w:space="0" w:color="auto"/>
            <w:left w:val="none" w:sz="0" w:space="0" w:color="auto"/>
            <w:bottom w:val="none" w:sz="0" w:space="0" w:color="auto"/>
            <w:right w:val="none" w:sz="0" w:space="0" w:color="auto"/>
          </w:divBdr>
          <w:divsChild>
            <w:div w:id="1795708634">
              <w:marLeft w:val="0"/>
              <w:marRight w:val="0"/>
              <w:marTop w:val="0"/>
              <w:marBottom w:val="0"/>
              <w:divBdr>
                <w:top w:val="none" w:sz="0" w:space="0" w:color="auto"/>
                <w:left w:val="none" w:sz="0" w:space="0" w:color="auto"/>
                <w:bottom w:val="none" w:sz="0" w:space="0" w:color="auto"/>
                <w:right w:val="none" w:sz="0" w:space="0" w:color="auto"/>
              </w:divBdr>
              <w:divsChild>
                <w:div w:id="571965372">
                  <w:marLeft w:val="0"/>
                  <w:marRight w:val="0"/>
                  <w:marTop w:val="0"/>
                  <w:marBottom w:val="270"/>
                  <w:divBdr>
                    <w:top w:val="none" w:sz="0" w:space="0" w:color="auto"/>
                    <w:left w:val="none" w:sz="0" w:space="0" w:color="auto"/>
                    <w:bottom w:val="none" w:sz="0" w:space="0" w:color="auto"/>
                    <w:right w:val="none" w:sz="0" w:space="0" w:color="auto"/>
                  </w:divBdr>
                </w:div>
                <w:div w:id="250555341">
                  <w:marLeft w:val="0"/>
                  <w:marRight w:val="0"/>
                  <w:marTop w:val="0"/>
                  <w:marBottom w:val="0"/>
                  <w:divBdr>
                    <w:top w:val="none" w:sz="0" w:space="0" w:color="auto"/>
                    <w:left w:val="none" w:sz="0" w:space="0" w:color="auto"/>
                    <w:bottom w:val="none" w:sz="0" w:space="0" w:color="auto"/>
                    <w:right w:val="none" w:sz="0" w:space="0" w:color="auto"/>
                  </w:divBdr>
                </w:div>
              </w:divsChild>
            </w:div>
            <w:div w:id="1684503766">
              <w:marLeft w:val="0"/>
              <w:marRight w:val="0"/>
              <w:marTop w:val="0"/>
              <w:marBottom w:val="0"/>
              <w:divBdr>
                <w:top w:val="none" w:sz="0" w:space="0" w:color="auto"/>
                <w:left w:val="none" w:sz="0" w:space="0" w:color="auto"/>
                <w:bottom w:val="none" w:sz="0" w:space="0" w:color="auto"/>
                <w:right w:val="none" w:sz="0" w:space="0" w:color="auto"/>
              </w:divBdr>
              <w:divsChild>
                <w:div w:id="1111682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28470244">
          <w:marLeft w:val="0"/>
          <w:marRight w:val="0"/>
          <w:marTop w:val="0"/>
          <w:marBottom w:val="0"/>
          <w:divBdr>
            <w:top w:val="none" w:sz="0" w:space="0" w:color="auto"/>
            <w:left w:val="none" w:sz="0" w:space="0" w:color="auto"/>
            <w:bottom w:val="none" w:sz="0" w:space="0" w:color="auto"/>
            <w:right w:val="none" w:sz="0" w:space="0" w:color="auto"/>
          </w:divBdr>
          <w:divsChild>
            <w:div w:id="11789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2566</Words>
  <Characters>14630</Characters>
  <Application>Microsoft Office Word</Application>
  <DocSecurity>0</DocSecurity>
  <Lines>121</Lines>
  <Paragraphs>34</Paragraphs>
  <ScaleCrop>false</ScaleCrop>
  <Company/>
  <LinksUpToDate>false</LinksUpToDate>
  <CharactersWithSpaces>17162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thinkpad</cp:lastModifiedBy>
  <cp:revision>6</cp:revision>
  <dcterms:created xsi:type="dcterms:W3CDTF">2008-09-11T17:20:00Z</dcterms:created>
  <dcterms:modified xsi:type="dcterms:W3CDTF">2017-05-19T10:29:00Z</dcterms:modified>
</cp:coreProperties>
</file>